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52" w:rsidRPr="00206F77" w:rsidRDefault="002B2AC4" w:rsidP="00206F77">
      <w:pPr>
        <w:spacing w:after="0" w:line="240" w:lineRule="auto"/>
        <w:ind w:left="0" w:right="0" w:firstLine="0"/>
        <w:jc w:val="center"/>
        <w:rPr>
          <w:rFonts w:ascii="Times New Roman" w:hAnsi="Times New Roman" w:cs="Times New Roman"/>
          <w:b/>
          <w:sz w:val="28"/>
          <w:szCs w:val="18"/>
        </w:rPr>
      </w:pPr>
      <w:bookmarkStart w:id="0" w:name="_GoBack"/>
      <w:bookmarkEnd w:id="0"/>
      <w:r w:rsidRPr="00206F77">
        <w:rPr>
          <w:rFonts w:ascii="Times New Roman" w:hAnsi="Times New Roman" w:cs="Times New Roman"/>
          <w:b/>
          <w:sz w:val="28"/>
          <w:szCs w:val="18"/>
        </w:rPr>
        <w:t>OEX Spółka Akcyjna</w:t>
      </w:r>
    </w:p>
    <w:p w:rsidR="00373E6D" w:rsidRPr="00373E6D" w:rsidRDefault="00373E6D" w:rsidP="008012A8">
      <w:pPr>
        <w:spacing w:after="0" w:line="240" w:lineRule="auto"/>
        <w:ind w:left="0" w:right="0" w:firstLine="0"/>
        <w:rPr>
          <w:rFonts w:ascii="Times New Roman" w:hAnsi="Times New Roman" w:cs="Times New Roman"/>
          <w:sz w:val="24"/>
          <w:szCs w:val="18"/>
        </w:rPr>
      </w:pPr>
    </w:p>
    <w:p w:rsidR="00806AB3" w:rsidRPr="00E54F16" w:rsidRDefault="00806AB3" w:rsidP="008012A8">
      <w:pPr>
        <w:spacing w:after="0" w:line="240" w:lineRule="auto"/>
        <w:ind w:left="0" w:right="0" w:firstLine="0"/>
        <w:rPr>
          <w:rFonts w:ascii="Times New Roman" w:hAnsi="Times New Roman" w:cs="Times New Roman"/>
          <w:sz w:val="18"/>
          <w:szCs w:val="18"/>
        </w:rPr>
      </w:pPr>
    </w:p>
    <w:p w:rsidR="00231152" w:rsidRDefault="002B2AC4" w:rsidP="008012A8">
      <w:pPr>
        <w:spacing w:after="0" w:line="240" w:lineRule="auto"/>
        <w:ind w:left="1593" w:right="805" w:hanging="133"/>
        <w:jc w:val="center"/>
        <w:rPr>
          <w:rFonts w:ascii="Times New Roman" w:hAnsi="Times New Roman" w:cs="Times New Roman"/>
          <w:sz w:val="28"/>
          <w:szCs w:val="28"/>
        </w:rPr>
      </w:pPr>
      <w:r w:rsidRPr="00E54F16">
        <w:rPr>
          <w:rFonts w:ascii="Times New Roman" w:hAnsi="Times New Roman" w:cs="Times New Roman"/>
          <w:sz w:val="28"/>
          <w:szCs w:val="28"/>
        </w:rPr>
        <w:t>Informacja na temat stanu stosowania przez spółkę rekomendacji i zasad zawartych w Zbiorze Dobre Praktyki Spółek Notowanych na GPW 2016</w:t>
      </w:r>
    </w:p>
    <w:p w:rsidR="00F65977" w:rsidRDefault="00F65977" w:rsidP="008012A8">
      <w:pPr>
        <w:spacing w:after="0" w:line="240" w:lineRule="auto"/>
        <w:ind w:left="1593" w:right="805" w:hanging="133"/>
        <w:jc w:val="center"/>
        <w:rPr>
          <w:rFonts w:ascii="Times New Roman" w:hAnsi="Times New Roman" w:cs="Times New Roman"/>
          <w:sz w:val="28"/>
          <w:szCs w:val="28"/>
        </w:rPr>
      </w:pPr>
    </w:p>
    <w:p w:rsidR="00F65977" w:rsidRDefault="00F65977" w:rsidP="008012A8">
      <w:pPr>
        <w:spacing w:after="0" w:line="240" w:lineRule="auto"/>
        <w:ind w:left="1593" w:right="805" w:hanging="133"/>
        <w:jc w:val="center"/>
        <w:rPr>
          <w:rFonts w:ascii="Times New Roman" w:hAnsi="Times New Roman" w:cs="Times New Roman"/>
          <w:sz w:val="28"/>
          <w:szCs w:val="28"/>
        </w:rPr>
      </w:pPr>
    </w:p>
    <w:p w:rsidR="00231152" w:rsidRPr="0055494B" w:rsidRDefault="002B2AC4" w:rsidP="008012A8">
      <w:pPr>
        <w:spacing w:after="0" w:line="240" w:lineRule="auto"/>
        <w:ind w:left="709" w:right="0" w:hanging="709"/>
        <w:jc w:val="left"/>
        <w:rPr>
          <w:rFonts w:ascii="Times New Roman" w:hAnsi="Times New Roman" w:cs="Times New Roman"/>
          <w:sz w:val="18"/>
          <w:szCs w:val="18"/>
        </w:rPr>
      </w:pPr>
      <w:r w:rsidRPr="0055494B">
        <w:rPr>
          <w:rFonts w:ascii="Times New Roman" w:hAnsi="Times New Roman" w:cs="Times New Roman"/>
          <w:sz w:val="18"/>
          <w:szCs w:val="18"/>
        </w:rPr>
        <w:t>Według aktualnego stanu stosowania Dobrych Praktyk Spółka nie stosuje 1 rekomendacji: IV.R.2.</w:t>
      </w:r>
    </w:p>
    <w:p w:rsidR="00231152" w:rsidRPr="00465AD8" w:rsidRDefault="002B2AC4" w:rsidP="008012A8">
      <w:pPr>
        <w:spacing w:after="0" w:line="240" w:lineRule="auto"/>
        <w:ind w:left="709" w:right="0" w:hanging="709"/>
        <w:jc w:val="left"/>
        <w:rPr>
          <w:rFonts w:ascii="Times New Roman" w:hAnsi="Times New Roman" w:cs="Times New Roman"/>
          <w:sz w:val="18"/>
          <w:szCs w:val="18"/>
        </w:rPr>
      </w:pPr>
      <w:r w:rsidRPr="00465AD8">
        <w:rPr>
          <w:rFonts w:ascii="Times New Roman" w:hAnsi="Times New Roman" w:cs="Times New Roman"/>
          <w:sz w:val="18"/>
          <w:szCs w:val="18"/>
        </w:rPr>
        <w:t xml:space="preserve">Według aktualnego stanu stosowania Dobrych Praktyk Spółka nie stosuje </w:t>
      </w:r>
      <w:r w:rsidR="00465AD8">
        <w:rPr>
          <w:rFonts w:ascii="Times New Roman" w:hAnsi="Times New Roman" w:cs="Times New Roman"/>
          <w:sz w:val="18"/>
          <w:szCs w:val="18"/>
        </w:rPr>
        <w:t>6</w:t>
      </w:r>
      <w:r w:rsidRPr="00465AD8">
        <w:rPr>
          <w:rFonts w:ascii="Times New Roman" w:hAnsi="Times New Roman" w:cs="Times New Roman"/>
          <w:sz w:val="18"/>
          <w:szCs w:val="18"/>
        </w:rPr>
        <w:t xml:space="preserve"> zasad szczegółowych:</w:t>
      </w:r>
    </w:p>
    <w:p w:rsidR="00231152" w:rsidRPr="00E54F16" w:rsidRDefault="002B2AC4" w:rsidP="008012A8">
      <w:pPr>
        <w:spacing w:after="0" w:line="240" w:lineRule="auto"/>
        <w:ind w:left="709" w:right="0" w:hanging="709"/>
        <w:jc w:val="left"/>
        <w:rPr>
          <w:rFonts w:ascii="Times New Roman" w:hAnsi="Times New Roman" w:cs="Times New Roman"/>
          <w:sz w:val="18"/>
          <w:szCs w:val="18"/>
        </w:rPr>
      </w:pPr>
      <w:r w:rsidRPr="00465AD8">
        <w:rPr>
          <w:rFonts w:ascii="Times New Roman" w:hAnsi="Times New Roman" w:cs="Times New Roman"/>
          <w:sz w:val="18"/>
          <w:szCs w:val="18"/>
        </w:rPr>
        <w:t>I.Z.1.15., I.Z.1.16., III.Z.3., IV.Z.2., V.Z.6., VI.Z.4.</w:t>
      </w:r>
    </w:p>
    <w:p w:rsidR="00806AB3" w:rsidRDefault="00806AB3" w:rsidP="008012A8">
      <w:pPr>
        <w:spacing w:after="0" w:line="240" w:lineRule="auto"/>
        <w:ind w:left="709" w:right="0" w:hanging="709"/>
        <w:jc w:val="left"/>
        <w:rPr>
          <w:rFonts w:ascii="Times New Roman" w:hAnsi="Times New Roman" w:cs="Times New Roman"/>
          <w:sz w:val="22"/>
          <w:szCs w:val="18"/>
        </w:rPr>
      </w:pPr>
    </w:p>
    <w:p w:rsidR="00373E6D" w:rsidRPr="00D92382" w:rsidRDefault="00373E6D" w:rsidP="008012A8">
      <w:pPr>
        <w:spacing w:after="0" w:line="240" w:lineRule="auto"/>
        <w:ind w:left="709" w:right="0" w:hanging="709"/>
        <w:jc w:val="left"/>
        <w:rPr>
          <w:rFonts w:ascii="Times New Roman" w:hAnsi="Times New Roman" w:cs="Times New Roman"/>
          <w:sz w:val="24"/>
          <w:szCs w:val="18"/>
        </w:rPr>
      </w:pPr>
    </w:p>
    <w:p w:rsidR="00231152" w:rsidRPr="00D92382" w:rsidRDefault="002B2AC4" w:rsidP="008012A8">
      <w:pPr>
        <w:pStyle w:val="Nagwek1"/>
        <w:spacing w:after="0" w:line="240" w:lineRule="auto"/>
        <w:ind w:left="709" w:hanging="709"/>
        <w:rPr>
          <w:rFonts w:ascii="Times New Roman" w:hAnsi="Times New Roman" w:cs="Times New Roman"/>
          <w:sz w:val="24"/>
          <w:szCs w:val="18"/>
        </w:rPr>
      </w:pPr>
      <w:r w:rsidRPr="00D92382">
        <w:rPr>
          <w:rFonts w:ascii="Times New Roman" w:hAnsi="Times New Roman" w:cs="Times New Roman"/>
          <w:sz w:val="24"/>
          <w:szCs w:val="18"/>
        </w:rPr>
        <w:t>Polityka informacyjna i komunikacja z inwestorami</w:t>
      </w:r>
    </w:p>
    <w:p w:rsidR="00373E6D" w:rsidRPr="00373E6D" w:rsidRDefault="00373E6D" w:rsidP="008012A8">
      <w:pPr>
        <w:spacing w:after="0" w:line="240" w:lineRule="auto"/>
      </w:pPr>
    </w:p>
    <w:p w:rsidR="00E54F16" w:rsidRPr="00E54F16" w:rsidRDefault="00E54F16" w:rsidP="008012A8">
      <w:pPr>
        <w:spacing w:after="0" w:line="240" w:lineRule="auto"/>
      </w:pPr>
    </w:p>
    <w:p w:rsidR="00231152" w:rsidRDefault="002B2AC4" w:rsidP="008012A8">
      <w:pPr>
        <w:spacing w:after="0" w:line="240" w:lineRule="auto"/>
        <w:ind w:left="-142" w:right="0" w:firstLine="0"/>
        <w:jc w:val="left"/>
        <w:rPr>
          <w:rFonts w:ascii="Times New Roman" w:hAnsi="Times New Roman" w:cs="Times New Roman"/>
          <w:b/>
          <w:sz w:val="18"/>
          <w:szCs w:val="18"/>
        </w:rPr>
      </w:pPr>
      <w:r w:rsidRPr="00E54F16">
        <w:rPr>
          <w:rFonts w:ascii="Times New Roman" w:hAnsi="Times New Roman" w:cs="Times New Roman"/>
          <w:b/>
          <w:sz w:val="18"/>
          <w:szCs w:val="18"/>
        </w:rPr>
        <w:t>Spółka giełdowa dba o należytą komunikację z inwestorami i analitykami, prowadząc przejrzystą i skuteczną politykę informacyjną. W tym celu zapewnia łatwy i niedyskryminujący nikogo dostęp do ujawnianych informacji, korzystając z różnorodnych narzędzi komunikacji.</w:t>
      </w:r>
    </w:p>
    <w:p w:rsidR="00373E6D" w:rsidRPr="00E54F16" w:rsidRDefault="00373E6D" w:rsidP="008012A8">
      <w:pPr>
        <w:spacing w:after="0" w:line="240" w:lineRule="auto"/>
        <w:ind w:left="-142" w:right="0" w:firstLine="0"/>
        <w:jc w:val="left"/>
        <w:rPr>
          <w:rFonts w:ascii="Times New Roman" w:hAnsi="Times New Roman" w:cs="Times New Roman"/>
          <w:sz w:val="18"/>
          <w:szCs w:val="18"/>
        </w:rPr>
      </w:pPr>
    </w:p>
    <w:p w:rsidR="00E54F16" w:rsidRDefault="00E54F16" w:rsidP="008012A8">
      <w:pPr>
        <w:spacing w:after="0" w:line="240" w:lineRule="auto"/>
        <w:ind w:left="709" w:right="0" w:hanging="709"/>
        <w:jc w:val="left"/>
        <w:rPr>
          <w:rFonts w:ascii="Times New Roman" w:hAnsi="Times New Roman" w:cs="Times New Roman"/>
          <w:b/>
          <w:sz w:val="18"/>
          <w:szCs w:val="18"/>
        </w:rPr>
      </w:pPr>
    </w:p>
    <w:p w:rsidR="00231152" w:rsidRPr="00E54F16" w:rsidRDefault="002B2AC4" w:rsidP="008012A8">
      <w:pPr>
        <w:spacing w:after="0" w:line="240" w:lineRule="auto"/>
        <w:ind w:left="709" w:right="0" w:hanging="709"/>
        <w:jc w:val="left"/>
        <w:rPr>
          <w:rFonts w:ascii="Times New Roman" w:hAnsi="Times New Roman" w:cs="Times New Roman"/>
          <w:b/>
          <w:sz w:val="20"/>
          <w:szCs w:val="18"/>
        </w:rPr>
      </w:pPr>
      <w:r w:rsidRPr="00E54F16">
        <w:rPr>
          <w:rFonts w:ascii="Times New Roman" w:hAnsi="Times New Roman" w:cs="Times New Roman"/>
          <w:b/>
          <w:sz w:val="20"/>
          <w:szCs w:val="18"/>
        </w:rPr>
        <w:t>Rekomendacje</w:t>
      </w:r>
    </w:p>
    <w:p w:rsidR="00E54F16" w:rsidRPr="00E54F16" w:rsidRDefault="00E54F16" w:rsidP="008012A8">
      <w:pPr>
        <w:spacing w:after="0" w:line="240" w:lineRule="auto"/>
        <w:ind w:left="709" w:right="0" w:hanging="709"/>
        <w:jc w:val="left"/>
        <w:rPr>
          <w:rFonts w:ascii="Times New Roman" w:hAnsi="Times New Roman" w:cs="Times New Roman"/>
          <w:sz w:val="18"/>
          <w:szCs w:val="18"/>
        </w:rPr>
      </w:pPr>
    </w:p>
    <w:p w:rsidR="00373E6D"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I.R.1. </w:t>
      </w:r>
      <w:r w:rsidR="00E54F16">
        <w:rPr>
          <w:rFonts w:ascii="Times New Roman" w:hAnsi="Times New Roman" w:cs="Times New Roman"/>
          <w:b/>
          <w:sz w:val="18"/>
          <w:szCs w:val="18"/>
        </w:rPr>
        <w:t xml:space="preserve">    </w:t>
      </w:r>
      <w:r w:rsidR="0055494B">
        <w:rPr>
          <w:rFonts w:ascii="Times New Roman" w:hAnsi="Times New Roman" w:cs="Times New Roman"/>
          <w:b/>
          <w:sz w:val="18"/>
          <w:szCs w:val="18"/>
        </w:rPr>
        <w:tab/>
      </w:r>
      <w:r w:rsidRPr="00E54F16">
        <w:rPr>
          <w:rFonts w:ascii="Times New Roman" w:hAnsi="Times New Roman" w:cs="Times New Roman"/>
          <w:sz w:val="18"/>
          <w:szCs w:val="18"/>
        </w:rPr>
        <w:t xml:space="preserve">W sytuacji gdy spółka poweźmie wiedzę o rozpowszechnianiu w mediach nieprawdziwych informacji, które istotnie wpływają na jej ocenę, niezwłocznie po powzięciu takiej wiedzy zamieszcza na swojej stronie internetowej komunikat zawierający stanowisko odnośnie do tych informacji - chyba że w opinii spółki charakter informacji i okoliczności ich publikacji dają podstawy uznać przyjęcie innego rozwiązania za bardziej właściwe. </w:t>
      </w:r>
    </w:p>
    <w:p w:rsidR="00231152" w:rsidRDefault="00373E6D" w:rsidP="008012A8">
      <w:pPr>
        <w:spacing w:after="0" w:line="240" w:lineRule="auto"/>
        <w:ind w:left="709" w:right="0" w:hanging="709"/>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002B2AC4" w:rsidRPr="00E54F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709" w:right="0" w:hanging="709"/>
        <w:rPr>
          <w:rFonts w:ascii="Times New Roman" w:hAnsi="Times New Roman" w:cs="Times New Roman"/>
          <w:sz w:val="18"/>
          <w:szCs w:val="18"/>
        </w:rPr>
      </w:pPr>
    </w:p>
    <w:p w:rsidR="00373E6D"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I.R.2. </w:t>
      </w:r>
      <w:r w:rsidR="00E54F16">
        <w:rPr>
          <w:rFonts w:ascii="Times New Roman" w:hAnsi="Times New Roman" w:cs="Times New Roman"/>
          <w:b/>
          <w:sz w:val="18"/>
          <w:szCs w:val="18"/>
        </w:rPr>
        <w:t xml:space="preserve">   </w:t>
      </w:r>
      <w:r w:rsidRPr="00E54F16">
        <w:rPr>
          <w:rFonts w:ascii="Times New Roman" w:hAnsi="Times New Roman" w:cs="Times New Roman"/>
          <w:sz w:val="18"/>
          <w:szCs w:val="18"/>
        </w:rPr>
        <w:t xml:space="preserve">Jeżeli spółka prowadzi działalność sponsoringową, charytatywną lub inną o zbliżonym charakterze, zamieszcza w rocznym sprawozdaniu z działalności informację na temat prowadzonej polityki w tym zakresie. </w:t>
      </w:r>
    </w:p>
    <w:p w:rsidR="00231152" w:rsidRDefault="00373E6D" w:rsidP="008012A8">
      <w:pPr>
        <w:spacing w:after="0" w:line="240" w:lineRule="auto"/>
        <w:ind w:left="709" w:right="0" w:hanging="709"/>
        <w:rPr>
          <w:rFonts w:ascii="Times New Roman" w:hAnsi="Times New Roman" w:cs="Times New Roman"/>
          <w:i/>
          <w:sz w:val="18"/>
          <w:szCs w:val="18"/>
          <w:u w:val="single" w:color="000000"/>
        </w:rPr>
      </w:pPr>
      <w:r w:rsidRPr="00373E6D">
        <w:rPr>
          <w:rFonts w:ascii="Times New Roman" w:hAnsi="Times New Roman" w:cs="Times New Roman"/>
          <w:i/>
          <w:sz w:val="18"/>
          <w:szCs w:val="18"/>
        </w:rPr>
        <w:t xml:space="preserve">               </w:t>
      </w:r>
      <w:r w:rsidR="002B2AC4" w:rsidRPr="00E54F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709" w:right="0" w:hanging="709"/>
        <w:rPr>
          <w:rFonts w:ascii="Times New Roman" w:hAnsi="Times New Roman" w:cs="Times New Roman"/>
          <w:sz w:val="18"/>
          <w:szCs w:val="18"/>
        </w:rPr>
      </w:pPr>
    </w:p>
    <w:p w:rsidR="00373E6D"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I.R.3. </w:t>
      </w:r>
      <w:r w:rsidR="00E54F16">
        <w:rPr>
          <w:rFonts w:ascii="Times New Roman" w:hAnsi="Times New Roman" w:cs="Times New Roman"/>
          <w:b/>
          <w:sz w:val="18"/>
          <w:szCs w:val="18"/>
        </w:rPr>
        <w:t xml:space="preserve">    </w:t>
      </w:r>
      <w:r w:rsidRPr="00E54F16">
        <w:rPr>
          <w:rFonts w:ascii="Times New Roman" w:hAnsi="Times New Roman" w:cs="Times New Roman"/>
          <w:sz w:val="18"/>
          <w:szCs w:val="18"/>
        </w:rPr>
        <w:t xml:space="preserve">Spółka powinna umożliwić inwestorom i analitykom zadawanie pytań i uzyskiwanie – z uwzględnieniem zakazów wynikających z obowiązujących przepisów prawa - wyjaśnień na tematy będące przedmiotem zainteresowania tych osób. Realizacja tej rekomendacji może odbywać się w formule otwartych spotkań z inwestorami i analitykami lub w innej formie przewidzianej przez spółkę. </w:t>
      </w:r>
    </w:p>
    <w:p w:rsidR="00231152" w:rsidRDefault="00373E6D" w:rsidP="008012A8">
      <w:pPr>
        <w:spacing w:after="0" w:line="240" w:lineRule="auto"/>
        <w:ind w:left="709" w:right="0" w:hanging="709"/>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002B2AC4" w:rsidRPr="00E54F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709" w:right="0" w:hanging="709"/>
        <w:rPr>
          <w:rFonts w:ascii="Times New Roman" w:hAnsi="Times New Roman" w:cs="Times New Roman"/>
          <w:sz w:val="18"/>
          <w:szCs w:val="18"/>
        </w:rPr>
      </w:pPr>
    </w:p>
    <w:p w:rsidR="00373E6D"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I.R.4. </w:t>
      </w:r>
      <w:r w:rsidR="00E54F16">
        <w:rPr>
          <w:rFonts w:ascii="Times New Roman" w:hAnsi="Times New Roman" w:cs="Times New Roman"/>
          <w:b/>
          <w:sz w:val="18"/>
          <w:szCs w:val="18"/>
        </w:rPr>
        <w:t xml:space="preserve">    </w:t>
      </w:r>
      <w:r w:rsidR="0055494B">
        <w:rPr>
          <w:rFonts w:ascii="Times New Roman" w:hAnsi="Times New Roman" w:cs="Times New Roman"/>
          <w:b/>
          <w:sz w:val="18"/>
          <w:szCs w:val="18"/>
        </w:rPr>
        <w:tab/>
      </w:r>
      <w:r w:rsidRPr="00E54F16">
        <w:rPr>
          <w:rFonts w:ascii="Times New Roman" w:hAnsi="Times New Roman" w:cs="Times New Roman"/>
          <w:sz w:val="18"/>
          <w:szCs w:val="18"/>
        </w:rPr>
        <w:t xml:space="preserve">Spółka powinna dokładać starań, w tym z odpowiednim wyprzedzeniem podejmować wszelkie czynności niezbędne dla sporządzenia raportu okresowego, by umożliwiać inwestorom zapoznanie się z osiągniętymi przez nią wynikami finansowymi w możliwie najkrótszym czasie po zakończeniu okresu sprawozdawczego. </w:t>
      </w:r>
    </w:p>
    <w:p w:rsidR="00231152" w:rsidRDefault="00373E6D" w:rsidP="008012A8">
      <w:pPr>
        <w:spacing w:after="0" w:line="240" w:lineRule="auto"/>
        <w:ind w:left="709" w:right="0" w:hanging="709"/>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002B2AC4" w:rsidRPr="00E54F16">
        <w:rPr>
          <w:rFonts w:ascii="Times New Roman" w:hAnsi="Times New Roman" w:cs="Times New Roman"/>
          <w:i/>
          <w:sz w:val="18"/>
          <w:szCs w:val="18"/>
          <w:u w:val="single" w:color="000000"/>
        </w:rPr>
        <w:t>Zasada jest stosowana.</w:t>
      </w:r>
    </w:p>
    <w:p w:rsidR="00373E6D" w:rsidRDefault="00373E6D" w:rsidP="008012A8">
      <w:pPr>
        <w:spacing w:after="0" w:line="240" w:lineRule="auto"/>
        <w:ind w:left="709" w:right="0" w:hanging="709"/>
        <w:rPr>
          <w:rFonts w:ascii="Times New Roman" w:hAnsi="Times New Roman" w:cs="Times New Roman"/>
          <w:i/>
          <w:sz w:val="18"/>
          <w:szCs w:val="18"/>
          <w:u w:val="single" w:color="000000"/>
        </w:rPr>
      </w:pPr>
    </w:p>
    <w:p w:rsidR="00373E6D" w:rsidRPr="00E54F16" w:rsidRDefault="00373E6D" w:rsidP="008012A8">
      <w:pPr>
        <w:spacing w:after="0" w:line="240" w:lineRule="auto"/>
        <w:ind w:left="709" w:right="0" w:hanging="709"/>
        <w:rPr>
          <w:rFonts w:ascii="Times New Roman" w:hAnsi="Times New Roman" w:cs="Times New Roman"/>
          <w:sz w:val="18"/>
          <w:szCs w:val="18"/>
        </w:rPr>
      </w:pPr>
    </w:p>
    <w:p w:rsidR="00231152" w:rsidRDefault="002B2AC4" w:rsidP="008012A8">
      <w:pPr>
        <w:spacing w:after="0" w:line="240" w:lineRule="auto"/>
        <w:ind w:left="709" w:right="0" w:hanging="709"/>
        <w:jc w:val="left"/>
        <w:rPr>
          <w:rFonts w:ascii="Times New Roman" w:hAnsi="Times New Roman" w:cs="Times New Roman"/>
          <w:b/>
          <w:sz w:val="20"/>
          <w:szCs w:val="18"/>
        </w:rPr>
      </w:pPr>
      <w:r w:rsidRPr="00E54F16">
        <w:rPr>
          <w:rFonts w:ascii="Times New Roman" w:hAnsi="Times New Roman" w:cs="Times New Roman"/>
          <w:b/>
          <w:sz w:val="20"/>
          <w:szCs w:val="18"/>
        </w:rPr>
        <w:t>Zasady szczegółowe</w:t>
      </w:r>
    </w:p>
    <w:p w:rsidR="00E54F16" w:rsidRPr="00E54F16" w:rsidRDefault="00E54F16" w:rsidP="008012A8">
      <w:pPr>
        <w:spacing w:after="0" w:line="240" w:lineRule="auto"/>
        <w:ind w:left="709" w:right="0" w:hanging="709"/>
        <w:jc w:val="left"/>
        <w:rPr>
          <w:rFonts w:ascii="Times New Roman" w:hAnsi="Times New Roman" w:cs="Times New Roman"/>
          <w:sz w:val="20"/>
          <w:szCs w:val="18"/>
        </w:rPr>
      </w:pPr>
    </w:p>
    <w:p w:rsidR="00231152"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 </w:t>
      </w:r>
      <w:r w:rsidR="00E54F16">
        <w:rPr>
          <w:rFonts w:ascii="Times New Roman" w:hAnsi="Times New Roman" w:cs="Times New Roman"/>
          <w:b/>
          <w:sz w:val="18"/>
          <w:szCs w:val="18"/>
        </w:rPr>
        <w:t xml:space="preserve">     </w:t>
      </w:r>
      <w:r w:rsidR="00C8115A">
        <w:rPr>
          <w:rFonts w:ascii="Times New Roman" w:hAnsi="Times New Roman" w:cs="Times New Roman"/>
          <w:b/>
          <w:sz w:val="18"/>
          <w:szCs w:val="18"/>
        </w:rPr>
        <w:t xml:space="preserve">  </w:t>
      </w:r>
      <w:r w:rsidRPr="00E54F16">
        <w:rPr>
          <w:rFonts w:ascii="Times New Roman" w:hAnsi="Times New Roman" w:cs="Times New Roman"/>
          <w:sz w:val="18"/>
          <w:szCs w:val="18"/>
        </w:rPr>
        <w:t xml:space="preserve">Spółka prowadzi korporacyjną stronę internetową i zamieszcza na niej, w czytelnej </w:t>
      </w:r>
      <w:r w:rsidR="00C8115A">
        <w:rPr>
          <w:rFonts w:ascii="Times New Roman" w:hAnsi="Times New Roman" w:cs="Times New Roman"/>
          <w:sz w:val="18"/>
          <w:szCs w:val="18"/>
        </w:rPr>
        <w:t xml:space="preserve">formie i wyodrębnionym miejscu, </w:t>
      </w:r>
      <w:r w:rsidRPr="00E54F16">
        <w:rPr>
          <w:rFonts w:ascii="Times New Roman" w:hAnsi="Times New Roman" w:cs="Times New Roman"/>
          <w:sz w:val="18"/>
          <w:szCs w:val="18"/>
        </w:rPr>
        <w:t>oprócz informacji wymaganych przepisami prawa:</w:t>
      </w:r>
    </w:p>
    <w:p w:rsidR="00373E6D" w:rsidRPr="00E54F16" w:rsidRDefault="00373E6D" w:rsidP="008012A8">
      <w:pPr>
        <w:spacing w:after="0" w:line="240" w:lineRule="auto"/>
        <w:ind w:left="709" w:right="0" w:hanging="709"/>
        <w:rPr>
          <w:rFonts w:ascii="Times New Roman" w:hAnsi="Times New Roman" w:cs="Times New Roman"/>
          <w:sz w:val="18"/>
          <w:szCs w:val="18"/>
        </w:rPr>
      </w:pPr>
    </w:p>
    <w:p w:rsidR="00C8115A"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I.Z.1.1.</w:t>
      </w:r>
      <w:r w:rsidRPr="00E54F16">
        <w:rPr>
          <w:rFonts w:ascii="Times New Roman" w:hAnsi="Times New Roman" w:cs="Times New Roman"/>
          <w:b/>
          <w:sz w:val="18"/>
          <w:szCs w:val="18"/>
        </w:rPr>
        <w:tab/>
      </w:r>
      <w:r w:rsidRPr="00E54F16">
        <w:rPr>
          <w:rFonts w:ascii="Times New Roman" w:hAnsi="Times New Roman" w:cs="Times New Roman"/>
          <w:sz w:val="18"/>
          <w:szCs w:val="18"/>
        </w:rPr>
        <w:t xml:space="preserve">podstawowe dokumenty korporacyjne, w szczególności statut spółki, </w:t>
      </w:r>
    </w:p>
    <w:p w:rsidR="00231152" w:rsidRDefault="00C8115A" w:rsidP="008012A8">
      <w:pPr>
        <w:spacing w:after="0" w:line="240" w:lineRule="auto"/>
        <w:ind w:left="1418" w:right="0" w:hanging="709"/>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002B2AC4" w:rsidRPr="00E54F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1418" w:right="0" w:hanging="709"/>
        <w:rPr>
          <w:rFonts w:ascii="Times New Roman" w:hAnsi="Times New Roman" w:cs="Times New Roman"/>
          <w:sz w:val="18"/>
          <w:szCs w:val="18"/>
        </w:rPr>
      </w:pPr>
    </w:p>
    <w:p w:rsidR="00931916" w:rsidRDefault="002B2AC4" w:rsidP="008012A8">
      <w:pPr>
        <w:spacing w:after="0" w:line="240" w:lineRule="auto"/>
        <w:ind w:left="1418" w:right="0" w:hanging="709"/>
        <w:rPr>
          <w:rFonts w:ascii="Times New Roman" w:hAnsi="Times New Roman" w:cs="Times New Roman"/>
          <w:sz w:val="18"/>
          <w:szCs w:val="18"/>
        </w:rPr>
      </w:pPr>
      <w:r w:rsidRPr="00931916">
        <w:rPr>
          <w:rFonts w:ascii="Times New Roman" w:hAnsi="Times New Roman" w:cs="Times New Roman"/>
          <w:b/>
          <w:sz w:val="18"/>
          <w:szCs w:val="18"/>
        </w:rPr>
        <w:t xml:space="preserve">I.Z.1.2. </w:t>
      </w:r>
      <w:r w:rsidRPr="00931916">
        <w:rPr>
          <w:rFonts w:ascii="Times New Roman" w:hAnsi="Times New Roman" w:cs="Times New Roman"/>
          <w:sz w:val="18"/>
          <w:szCs w:val="18"/>
        </w:rPr>
        <w:t>skład zarządu i rady nadzorczej spółki oraz życiorysy zawodowe członków tych organów wraz z informacją na temat spełniania przez członków rady nadzorczej kryteriów niezależności,</w:t>
      </w:r>
    </w:p>
    <w:p w:rsidR="00231152" w:rsidRPr="00E54F16" w:rsidRDefault="002B2AC4" w:rsidP="00004E59">
      <w:pPr>
        <w:spacing w:after="0" w:line="240" w:lineRule="auto"/>
        <w:ind w:left="1418" w:right="0" w:hanging="2"/>
        <w:rPr>
          <w:rFonts w:ascii="Times New Roman" w:hAnsi="Times New Roman" w:cs="Times New Roman"/>
          <w:sz w:val="18"/>
          <w:szCs w:val="18"/>
        </w:rPr>
      </w:pPr>
      <w:r w:rsidRPr="009319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1418" w:right="0" w:firstLine="0"/>
        <w:rPr>
          <w:rFonts w:ascii="Times New Roman" w:hAnsi="Times New Roman" w:cs="Times New Roman"/>
          <w:sz w:val="18"/>
          <w:szCs w:val="18"/>
        </w:rPr>
      </w:pPr>
    </w:p>
    <w:p w:rsidR="00231152" w:rsidRPr="00E54F16" w:rsidRDefault="002B2AC4" w:rsidP="008012A8">
      <w:pPr>
        <w:spacing w:after="0" w:line="240" w:lineRule="auto"/>
        <w:ind w:left="1418" w:right="0" w:hanging="709"/>
        <w:rPr>
          <w:rFonts w:ascii="Times New Roman" w:hAnsi="Times New Roman" w:cs="Times New Roman"/>
          <w:sz w:val="18"/>
          <w:szCs w:val="18"/>
        </w:rPr>
      </w:pPr>
      <w:r w:rsidRPr="00931916">
        <w:rPr>
          <w:rFonts w:ascii="Times New Roman" w:hAnsi="Times New Roman" w:cs="Times New Roman"/>
          <w:b/>
          <w:sz w:val="18"/>
          <w:szCs w:val="18"/>
        </w:rPr>
        <w:t xml:space="preserve">I.Z.1.3. </w:t>
      </w:r>
      <w:r w:rsidR="00C8115A" w:rsidRPr="00931916">
        <w:rPr>
          <w:rFonts w:ascii="Times New Roman" w:hAnsi="Times New Roman" w:cs="Times New Roman"/>
          <w:b/>
          <w:sz w:val="18"/>
          <w:szCs w:val="18"/>
        </w:rPr>
        <w:t xml:space="preserve">  </w:t>
      </w:r>
      <w:r w:rsidRPr="00931916">
        <w:rPr>
          <w:rFonts w:ascii="Times New Roman" w:hAnsi="Times New Roman" w:cs="Times New Roman"/>
          <w:sz w:val="18"/>
          <w:szCs w:val="18"/>
        </w:rPr>
        <w:t>schemat podziału zadań i odpowiedzialności pomiędzy członków zarządu, sporządzony zgodnie z zasadą II.Z.1,</w:t>
      </w:r>
    </w:p>
    <w:p w:rsidR="00231152" w:rsidRPr="00E54F16" w:rsidRDefault="002B2AC4" w:rsidP="008012A8">
      <w:pPr>
        <w:spacing w:after="0" w:line="240" w:lineRule="auto"/>
        <w:ind w:left="1418"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1418" w:right="0" w:firstLine="0"/>
        <w:rPr>
          <w:rFonts w:ascii="Times New Roman" w:hAnsi="Times New Roman" w:cs="Times New Roman"/>
          <w:sz w:val="18"/>
          <w:szCs w:val="18"/>
        </w:rPr>
      </w:pPr>
    </w:p>
    <w:p w:rsidR="00373E6D"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lastRenderedPageBreak/>
        <w:t xml:space="preserve">I.Z.1.4. </w:t>
      </w:r>
      <w:r w:rsidR="00373E6D">
        <w:rPr>
          <w:rFonts w:ascii="Times New Roman" w:hAnsi="Times New Roman" w:cs="Times New Roman"/>
          <w:b/>
          <w:sz w:val="18"/>
          <w:szCs w:val="18"/>
        </w:rPr>
        <w:t xml:space="preserve">  </w:t>
      </w:r>
      <w:r w:rsidRPr="00E54F16">
        <w:rPr>
          <w:rFonts w:ascii="Times New Roman" w:hAnsi="Times New Roman" w:cs="Times New Roman"/>
          <w:sz w:val="18"/>
          <w:szCs w:val="18"/>
        </w:rPr>
        <w:t>aktualną strukturę akcjonariatu, ze wskazaniem akcjonariuszy posiadających co najmniej 5% ogólnej liczby głosów w spółce – na podstawie informacji przekazanych spółce przez akcjonariuszy zgodn</w:t>
      </w:r>
      <w:r w:rsidR="00373E6D">
        <w:rPr>
          <w:rFonts w:ascii="Times New Roman" w:hAnsi="Times New Roman" w:cs="Times New Roman"/>
          <w:sz w:val="18"/>
          <w:szCs w:val="18"/>
        </w:rPr>
        <w:t>ie z obowiązującymi przepisami,</w:t>
      </w:r>
    </w:p>
    <w:p w:rsidR="00231152" w:rsidRDefault="00373E6D" w:rsidP="008012A8">
      <w:pPr>
        <w:spacing w:after="0" w:line="240" w:lineRule="auto"/>
        <w:ind w:left="1418" w:right="0" w:hanging="709"/>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002B2AC4" w:rsidRPr="00E54F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1418" w:right="0" w:hanging="709"/>
        <w:rPr>
          <w:rFonts w:ascii="Times New Roman" w:hAnsi="Times New Roman" w:cs="Times New Roman"/>
          <w:sz w:val="18"/>
          <w:szCs w:val="18"/>
        </w:rPr>
      </w:pPr>
    </w:p>
    <w:p w:rsidR="00373E6D"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I.Z.1.5. </w:t>
      </w:r>
      <w:r w:rsidR="00373E6D">
        <w:rPr>
          <w:rFonts w:ascii="Times New Roman" w:hAnsi="Times New Roman" w:cs="Times New Roman"/>
          <w:b/>
          <w:sz w:val="18"/>
          <w:szCs w:val="18"/>
        </w:rPr>
        <w:t xml:space="preserve"> </w:t>
      </w:r>
      <w:r w:rsidRPr="00E54F16">
        <w:rPr>
          <w:rFonts w:ascii="Times New Roman" w:hAnsi="Times New Roman" w:cs="Times New Roman"/>
          <w:sz w:val="18"/>
          <w:szCs w:val="18"/>
        </w:rPr>
        <w:t xml:space="preserve">raporty bieżące i okresowe oraz prospekty emisyjne i memoranda informacyjne wraz z aneksami, opublikowane przez spółkę w okresie co najmniej ostatnich 5 lat, </w:t>
      </w:r>
    </w:p>
    <w:p w:rsidR="00231152" w:rsidRDefault="00373E6D" w:rsidP="008012A8">
      <w:pPr>
        <w:spacing w:after="0" w:line="240" w:lineRule="auto"/>
        <w:ind w:left="1418" w:right="0" w:hanging="709"/>
        <w:rPr>
          <w:rFonts w:ascii="Times New Roman" w:hAnsi="Times New Roman" w:cs="Times New Roman"/>
          <w:i/>
          <w:sz w:val="18"/>
          <w:szCs w:val="18"/>
          <w:u w:val="single" w:color="000000"/>
        </w:rPr>
      </w:pPr>
      <w:r w:rsidRPr="00373E6D">
        <w:rPr>
          <w:rFonts w:ascii="Times New Roman" w:hAnsi="Times New Roman" w:cs="Times New Roman"/>
          <w:i/>
          <w:sz w:val="18"/>
          <w:szCs w:val="18"/>
        </w:rPr>
        <w:t xml:space="preserve">                </w:t>
      </w:r>
      <w:r w:rsidR="002B2AC4" w:rsidRPr="00E54F16">
        <w:rPr>
          <w:rFonts w:ascii="Times New Roman" w:hAnsi="Times New Roman" w:cs="Times New Roman"/>
          <w:i/>
          <w:sz w:val="18"/>
          <w:szCs w:val="18"/>
          <w:u w:val="single" w:color="000000"/>
        </w:rPr>
        <w:t>Zasada jest stosowana.</w:t>
      </w:r>
    </w:p>
    <w:p w:rsidR="00373E6D" w:rsidRPr="00E54F16" w:rsidRDefault="00373E6D" w:rsidP="008012A8">
      <w:pPr>
        <w:spacing w:after="0" w:line="240" w:lineRule="auto"/>
        <w:ind w:left="1418" w:right="0" w:hanging="709"/>
        <w:rPr>
          <w:rFonts w:ascii="Times New Roman" w:hAnsi="Times New Roman" w:cs="Times New Roman"/>
          <w:sz w:val="18"/>
          <w:szCs w:val="18"/>
        </w:rPr>
      </w:pPr>
    </w:p>
    <w:p w:rsidR="00C34842" w:rsidRDefault="002B2AC4" w:rsidP="008012A8">
      <w:pPr>
        <w:tabs>
          <w:tab w:val="left" w:pos="1418"/>
        </w:tabs>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I.Z.1.6. </w:t>
      </w:r>
      <w:r w:rsidR="00C3484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kalendarz zdarzeń korporacyjnych skutkujących nabyciem lub ograniczeniem praw po stronie akcjonariusza, kalendarz publikacji raportów finansowych oraz innych wydarzeń istotnych z punktu widzenia inwestorów – w terminie umożliwiającym podjęcie przez inwestorów decyzji inwestycyjnych, </w:t>
      </w:r>
      <w:r w:rsidR="00C34842">
        <w:rPr>
          <w:rFonts w:ascii="Times New Roman" w:hAnsi="Times New Roman" w:cs="Times New Roman"/>
          <w:sz w:val="18"/>
          <w:szCs w:val="18"/>
        </w:rPr>
        <w:t xml:space="preserve">                </w:t>
      </w:r>
    </w:p>
    <w:p w:rsidR="00231152" w:rsidRDefault="00C34842" w:rsidP="008012A8">
      <w:pPr>
        <w:spacing w:after="0" w:line="240" w:lineRule="auto"/>
        <w:ind w:left="1418" w:right="0" w:hanging="709"/>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002B2AC4"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rPr>
          <w:rFonts w:ascii="Times New Roman" w:hAnsi="Times New Roman" w:cs="Times New Roman"/>
          <w:sz w:val="18"/>
          <w:szCs w:val="18"/>
        </w:rPr>
      </w:pPr>
    </w:p>
    <w:p w:rsidR="00231152" w:rsidRPr="00E54F16"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I.Z.1.7.</w:t>
      </w:r>
      <w:r w:rsidRPr="00E54F16">
        <w:rPr>
          <w:rFonts w:ascii="Times New Roman" w:hAnsi="Times New Roman" w:cs="Times New Roman"/>
          <w:b/>
          <w:sz w:val="18"/>
          <w:szCs w:val="18"/>
        </w:rPr>
        <w:tab/>
      </w:r>
      <w:r w:rsidRPr="00E54F16">
        <w:rPr>
          <w:rFonts w:ascii="Times New Roman" w:hAnsi="Times New Roman" w:cs="Times New Roman"/>
          <w:sz w:val="18"/>
          <w:szCs w:val="18"/>
        </w:rPr>
        <w:t>opublikowane przez spółkę materiały informacyjne na temat strategii spółki oraz jej wyników finansowych,</w:t>
      </w:r>
    </w:p>
    <w:p w:rsidR="00231152" w:rsidRDefault="002B2AC4" w:rsidP="008012A8">
      <w:pPr>
        <w:spacing w:after="0" w:line="240" w:lineRule="auto"/>
        <w:ind w:left="1418" w:right="0" w:firstLine="0"/>
        <w:jc w:val="left"/>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jc w:val="left"/>
        <w:rPr>
          <w:rFonts w:ascii="Times New Roman" w:hAnsi="Times New Roman" w:cs="Times New Roman"/>
          <w:sz w:val="18"/>
          <w:szCs w:val="18"/>
        </w:rPr>
      </w:pPr>
    </w:p>
    <w:p w:rsidR="00C34842"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I.Z.1.8. </w:t>
      </w:r>
      <w:r w:rsidRPr="00E54F16">
        <w:rPr>
          <w:rFonts w:ascii="Times New Roman" w:hAnsi="Times New Roman" w:cs="Times New Roman"/>
          <w:sz w:val="18"/>
          <w:szCs w:val="18"/>
        </w:rPr>
        <w:t>zestawienia wybranych danych finansowych spółki za ostatnie 5 lat działalności, w formacie umożliwiającym przetwarzanie tych danych przez ich odbiorców,</w:t>
      </w:r>
    </w:p>
    <w:p w:rsidR="00231152" w:rsidRDefault="002B2AC4" w:rsidP="008012A8">
      <w:pPr>
        <w:spacing w:after="0" w:line="240" w:lineRule="auto"/>
        <w:ind w:left="1418" w:right="0" w:firstLine="0"/>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rPr>
          <w:rFonts w:ascii="Times New Roman" w:hAnsi="Times New Roman" w:cs="Times New Roman"/>
          <w:sz w:val="18"/>
          <w:szCs w:val="18"/>
        </w:rPr>
      </w:pPr>
    </w:p>
    <w:p w:rsidR="00C34842"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I.Z.1.9. </w:t>
      </w:r>
      <w:r w:rsidR="00C34842">
        <w:rPr>
          <w:rFonts w:ascii="Times New Roman" w:hAnsi="Times New Roman" w:cs="Times New Roman"/>
          <w:b/>
          <w:sz w:val="18"/>
          <w:szCs w:val="18"/>
        </w:rPr>
        <w:t xml:space="preserve">  </w:t>
      </w:r>
      <w:r w:rsidR="00DF69B3">
        <w:rPr>
          <w:rFonts w:ascii="Times New Roman" w:hAnsi="Times New Roman" w:cs="Times New Roman"/>
          <w:b/>
          <w:sz w:val="18"/>
          <w:szCs w:val="18"/>
        </w:rPr>
        <w:t xml:space="preserve"> </w:t>
      </w:r>
      <w:r w:rsidRPr="00E54F16">
        <w:rPr>
          <w:rFonts w:ascii="Times New Roman" w:hAnsi="Times New Roman" w:cs="Times New Roman"/>
          <w:sz w:val="18"/>
          <w:szCs w:val="18"/>
        </w:rPr>
        <w:t xml:space="preserve">informacje na temat planowanej dywidendy oraz dywidendy wypłaconej przez spółkę w okresie ostatnich 5 lat obrotowych, zawierające dane na temat dnia dywidendy, terminów wypłat oraz wysokości dywidend - łącznie oraz w przeliczeniu na jedną akcję, </w:t>
      </w:r>
    </w:p>
    <w:p w:rsidR="00231152" w:rsidRDefault="002B2AC4" w:rsidP="008012A8">
      <w:pPr>
        <w:spacing w:after="0" w:line="240" w:lineRule="auto"/>
        <w:ind w:left="1418" w:right="0" w:firstLine="0"/>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rPr>
          <w:rFonts w:ascii="Times New Roman" w:hAnsi="Times New Roman" w:cs="Times New Roman"/>
          <w:sz w:val="18"/>
          <w:szCs w:val="18"/>
        </w:rPr>
      </w:pPr>
    </w:p>
    <w:p w:rsidR="00C34842"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I.Z.1.10. </w:t>
      </w:r>
      <w:r w:rsidRPr="00E54F16">
        <w:rPr>
          <w:rFonts w:ascii="Times New Roman" w:hAnsi="Times New Roman" w:cs="Times New Roman"/>
          <w:sz w:val="18"/>
          <w:szCs w:val="18"/>
        </w:rPr>
        <w:t xml:space="preserve">prognozy finansowe – jeżeli spółka podjęła decyzję o ich publikacji - opublikowane w okresie co najmniej ostatnich 5 lat, wraz z informacją o stopniu ich realizacji, </w:t>
      </w:r>
    </w:p>
    <w:p w:rsidR="00231152" w:rsidRDefault="002B2AC4" w:rsidP="008012A8">
      <w:pPr>
        <w:spacing w:after="0" w:line="240" w:lineRule="auto"/>
        <w:ind w:left="1418" w:right="0" w:firstLine="0"/>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rPr>
          <w:rFonts w:ascii="Times New Roman" w:hAnsi="Times New Roman" w:cs="Times New Roman"/>
          <w:sz w:val="18"/>
          <w:szCs w:val="18"/>
        </w:rPr>
      </w:pPr>
    </w:p>
    <w:p w:rsidR="00C34842" w:rsidRDefault="002B2AC4" w:rsidP="008012A8">
      <w:pPr>
        <w:spacing w:after="0" w:line="240" w:lineRule="auto"/>
        <w:ind w:left="1418" w:right="0" w:hanging="709"/>
        <w:rPr>
          <w:rFonts w:ascii="Times New Roman" w:hAnsi="Times New Roman" w:cs="Times New Roman"/>
          <w:sz w:val="18"/>
          <w:szCs w:val="18"/>
        </w:rPr>
      </w:pPr>
      <w:r w:rsidRPr="00931916">
        <w:rPr>
          <w:rFonts w:ascii="Times New Roman" w:hAnsi="Times New Roman" w:cs="Times New Roman"/>
          <w:b/>
          <w:sz w:val="18"/>
          <w:szCs w:val="18"/>
        </w:rPr>
        <w:t xml:space="preserve">I.Z.1.11. </w:t>
      </w:r>
      <w:r w:rsidRPr="00931916">
        <w:rPr>
          <w:rFonts w:ascii="Times New Roman" w:hAnsi="Times New Roman" w:cs="Times New Roman"/>
          <w:sz w:val="18"/>
          <w:szCs w:val="18"/>
        </w:rPr>
        <w:t>informację o treści obowiązującej w spółce reguły dotyczącej zmieniania podmiotu uprawnionego do badania sprawozdań finansowych, bądź też o braku takiej reguły,</w:t>
      </w:r>
      <w:r w:rsidRPr="00E54F16">
        <w:rPr>
          <w:rFonts w:ascii="Times New Roman" w:hAnsi="Times New Roman" w:cs="Times New Roman"/>
          <w:sz w:val="18"/>
          <w:szCs w:val="18"/>
        </w:rPr>
        <w:t xml:space="preserve"> </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rPr>
          <w:rFonts w:ascii="Times New Roman" w:hAnsi="Times New Roman" w:cs="Times New Roman"/>
          <w:sz w:val="18"/>
          <w:szCs w:val="18"/>
        </w:rPr>
      </w:pPr>
    </w:p>
    <w:p w:rsidR="00231152" w:rsidRPr="00E54F16"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I.Z.1.12. </w:t>
      </w:r>
      <w:r w:rsidRPr="00E54F16">
        <w:rPr>
          <w:rFonts w:ascii="Times New Roman" w:hAnsi="Times New Roman" w:cs="Times New Roman"/>
          <w:sz w:val="18"/>
          <w:szCs w:val="18"/>
        </w:rPr>
        <w:t>zamieszczone w ostatnim opublikowanym raporcie rocznym oświadczenie spółki o stosowaniu ładu korporacyjnego,</w:t>
      </w:r>
    </w:p>
    <w:p w:rsidR="00231152" w:rsidRDefault="002B2AC4" w:rsidP="008012A8">
      <w:pPr>
        <w:spacing w:after="0" w:line="240" w:lineRule="auto"/>
        <w:ind w:left="1418" w:right="0" w:firstLine="0"/>
        <w:jc w:val="left"/>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jc w:val="left"/>
        <w:rPr>
          <w:rFonts w:ascii="Times New Roman" w:hAnsi="Times New Roman" w:cs="Times New Roman"/>
          <w:sz w:val="18"/>
          <w:szCs w:val="18"/>
        </w:rPr>
      </w:pPr>
    </w:p>
    <w:p w:rsidR="00DF69B3" w:rsidRDefault="002B2AC4" w:rsidP="008012A8">
      <w:pPr>
        <w:spacing w:after="0" w:line="240" w:lineRule="auto"/>
        <w:ind w:left="1418" w:right="0" w:hanging="709"/>
        <w:rPr>
          <w:rFonts w:ascii="Times New Roman" w:hAnsi="Times New Roman" w:cs="Times New Roman"/>
          <w:sz w:val="18"/>
          <w:szCs w:val="18"/>
        </w:rPr>
      </w:pPr>
      <w:r w:rsidRPr="00931916">
        <w:rPr>
          <w:rFonts w:ascii="Times New Roman" w:hAnsi="Times New Roman" w:cs="Times New Roman"/>
          <w:b/>
          <w:sz w:val="18"/>
          <w:szCs w:val="18"/>
        </w:rPr>
        <w:t xml:space="preserve">I.Z.1.13. </w:t>
      </w:r>
      <w:r w:rsidRPr="00931916">
        <w:rPr>
          <w:rFonts w:ascii="Times New Roman" w:hAnsi="Times New Roman" w:cs="Times New Roman"/>
          <w:sz w:val="18"/>
          <w:szCs w:val="18"/>
        </w:rPr>
        <w:t>informację na temat stanu stosowania przez spółkę rekomendacji i zasad zawartych w niniejszym dokumencie, spójną z informacjami, które w tym zakresie spółka powinna przekazać na podstawie odpowiednich przepisów,</w:t>
      </w:r>
      <w:r w:rsidRPr="00E54F16">
        <w:rPr>
          <w:rFonts w:ascii="Times New Roman" w:hAnsi="Times New Roman" w:cs="Times New Roman"/>
          <w:sz w:val="18"/>
          <w:szCs w:val="18"/>
        </w:rPr>
        <w:t xml:space="preserve"> </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C34842" w:rsidRPr="00E54F16" w:rsidRDefault="00C34842" w:rsidP="008012A8">
      <w:pPr>
        <w:spacing w:after="0" w:line="240" w:lineRule="auto"/>
        <w:ind w:left="1418" w:right="0" w:hanging="709"/>
        <w:rPr>
          <w:rFonts w:ascii="Times New Roman" w:hAnsi="Times New Roman" w:cs="Times New Roman"/>
          <w:sz w:val="18"/>
          <w:szCs w:val="18"/>
        </w:rPr>
      </w:pPr>
    </w:p>
    <w:p w:rsidR="00231152" w:rsidRPr="00E54F16" w:rsidRDefault="002B2AC4" w:rsidP="008012A8">
      <w:pPr>
        <w:spacing w:after="0" w:line="240" w:lineRule="auto"/>
        <w:ind w:left="1418" w:right="0" w:hanging="709"/>
        <w:jc w:val="left"/>
        <w:rPr>
          <w:rFonts w:ascii="Times New Roman" w:hAnsi="Times New Roman" w:cs="Times New Roman"/>
          <w:sz w:val="18"/>
          <w:szCs w:val="18"/>
        </w:rPr>
      </w:pPr>
      <w:r w:rsidRPr="00E54F16">
        <w:rPr>
          <w:rFonts w:ascii="Times New Roman" w:hAnsi="Times New Roman" w:cs="Times New Roman"/>
          <w:b/>
          <w:sz w:val="18"/>
          <w:szCs w:val="18"/>
        </w:rPr>
        <w:t xml:space="preserve">I.Z.1.14. </w:t>
      </w:r>
      <w:r w:rsidRPr="00E54F16">
        <w:rPr>
          <w:rFonts w:ascii="Times New Roman" w:hAnsi="Times New Roman" w:cs="Times New Roman"/>
          <w:sz w:val="18"/>
          <w:szCs w:val="18"/>
        </w:rPr>
        <w:t xml:space="preserve">materiały przekazywane walnemu zgromadzeniu, w tym oceny, sprawozdania i stanowiska wskazane w zasadzie II.Z.10, przedkładane walnemu zgromadzeniu przez radę nadzorczą, </w:t>
      </w:r>
      <w:r w:rsidRPr="00E54F16">
        <w:rPr>
          <w:rFonts w:ascii="Times New Roman" w:hAnsi="Times New Roman" w:cs="Times New Roman"/>
          <w:i/>
          <w:sz w:val="18"/>
          <w:szCs w:val="18"/>
          <w:u w:val="single" w:color="000000"/>
        </w:rPr>
        <w:t>Zasada jest stosowana.</w:t>
      </w:r>
    </w:p>
    <w:p w:rsidR="00C34842" w:rsidRDefault="00C34842" w:rsidP="008012A8">
      <w:pPr>
        <w:spacing w:after="0" w:line="240" w:lineRule="auto"/>
        <w:ind w:left="1418" w:right="0" w:hanging="709"/>
        <w:rPr>
          <w:rFonts w:ascii="Times New Roman" w:hAnsi="Times New Roman" w:cs="Times New Roman"/>
          <w:b/>
          <w:sz w:val="18"/>
          <w:szCs w:val="18"/>
        </w:rPr>
      </w:pPr>
    </w:p>
    <w:p w:rsidR="00231152" w:rsidRPr="00E54F16" w:rsidRDefault="002B2AC4" w:rsidP="008012A8">
      <w:pPr>
        <w:spacing w:after="0" w:line="240" w:lineRule="auto"/>
        <w:ind w:left="1418" w:right="0" w:hanging="709"/>
        <w:rPr>
          <w:rFonts w:ascii="Times New Roman" w:hAnsi="Times New Roman" w:cs="Times New Roman"/>
          <w:sz w:val="18"/>
          <w:szCs w:val="18"/>
        </w:rPr>
      </w:pPr>
      <w:r w:rsidRPr="009E3E75">
        <w:rPr>
          <w:rFonts w:ascii="Times New Roman" w:hAnsi="Times New Roman" w:cs="Times New Roman"/>
          <w:b/>
          <w:sz w:val="18"/>
          <w:szCs w:val="18"/>
        </w:rPr>
        <w:t xml:space="preserve">I.Z.1.15. </w:t>
      </w:r>
      <w:r w:rsidRPr="009E3E75">
        <w:rPr>
          <w:rFonts w:ascii="Times New Roman" w:hAnsi="Times New Roman" w:cs="Times New Roman"/>
          <w:sz w:val="18"/>
          <w:szCs w:val="18"/>
        </w:rPr>
        <w:t>informację zawierającą opis stosowanej przez spółkę polityki różnorodności w odniesieniu do władz spółki oraz jej kluczowych menedżerów; opis powinien uwzględniać takie elementy polityki różnorodności, jak płeć, kierunek wykształcenia, wiek, doświadczenie zawodowe, a także wskazywać cele stosowanej polityki różnorodności i sposób jej realizacji w danym okresie sprawozdawczym; jeżeli spółka nie opracowała i nie realizuje polityki różnorodności, zamieszcza na swojej stronie internetowej wyjaśnienie takiej decyzji,</w:t>
      </w:r>
    </w:p>
    <w:p w:rsidR="00231152" w:rsidRPr="00E54F16" w:rsidRDefault="002B2AC4" w:rsidP="008012A8">
      <w:pPr>
        <w:spacing w:after="0" w:line="240" w:lineRule="auto"/>
        <w:ind w:left="1418"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jest stosowana.</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b/>
          <w:i/>
          <w:sz w:val="18"/>
          <w:szCs w:val="18"/>
        </w:rPr>
        <w:t xml:space="preserve">Komentarz spółki: </w:t>
      </w:r>
      <w:r w:rsidRPr="00E54F16">
        <w:rPr>
          <w:rFonts w:ascii="Times New Roman" w:hAnsi="Times New Roman" w:cs="Times New Roman"/>
          <w:i/>
          <w:sz w:val="18"/>
          <w:szCs w:val="18"/>
        </w:rPr>
        <w:t>Przedmiotowa zasada nie jest stosowana</w:t>
      </w:r>
      <w:r w:rsidR="00B3476C">
        <w:rPr>
          <w:rFonts w:ascii="Times New Roman" w:hAnsi="Times New Roman" w:cs="Times New Roman"/>
          <w:i/>
          <w:sz w:val="18"/>
          <w:szCs w:val="18"/>
        </w:rPr>
        <w:t>,</w:t>
      </w:r>
      <w:r w:rsidRPr="00E54F16">
        <w:rPr>
          <w:rFonts w:ascii="Times New Roman" w:hAnsi="Times New Roman" w:cs="Times New Roman"/>
          <w:i/>
          <w:sz w:val="18"/>
          <w:szCs w:val="18"/>
        </w:rPr>
        <w:t xml:space="preserve"> gdyż Spółka nie </w:t>
      </w:r>
      <w:r w:rsidR="009E3E75">
        <w:rPr>
          <w:rFonts w:ascii="Times New Roman" w:hAnsi="Times New Roman" w:cs="Times New Roman"/>
          <w:i/>
          <w:sz w:val="18"/>
          <w:szCs w:val="18"/>
        </w:rPr>
        <w:t>wprowadziła sformalizowanej</w:t>
      </w:r>
      <w:r w:rsidR="009E3E75" w:rsidRPr="00E54F16">
        <w:rPr>
          <w:rFonts w:ascii="Times New Roman" w:hAnsi="Times New Roman" w:cs="Times New Roman"/>
          <w:i/>
          <w:sz w:val="18"/>
          <w:szCs w:val="18"/>
        </w:rPr>
        <w:t xml:space="preserve"> </w:t>
      </w:r>
      <w:r w:rsidRPr="00E54F16">
        <w:rPr>
          <w:rFonts w:ascii="Times New Roman" w:hAnsi="Times New Roman" w:cs="Times New Roman"/>
          <w:i/>
          <w:sz w:val="18"/>
          <w:szCs w:val="18"/>
        </w:rPr>
        <w:t>polityki różnorodności. Charakter działalności, struktura zatrudnienia Spółki, a także zmiany organizacyjne spowodowały, że obecnie Spółka koncentruje się na innych obszarach HR. Spółka nie wyklucza jednak opracowania i wdrożenia polityki różnorodności w przyszłości.</w:t>
      </w:r>
    </w:p>
    <w:p w:rsidR="00C34842" w:rsidRDefault="00C34842" w:rsidP="008012A8">
      <w:pPr>
        <w:spacing w:after="0" w:line="240" w:lineRule="auto"/>
        <w:ind w:left="1418" w:right="0" w:hanging="709"/>
        <w:rPr>
          <w:rFonts w:ascii="Times New Roman" w:hAnsi="Times New Roman" w:cs="Times New Roman"/>
          <w:b/>
          <w:sz w:val="18"/>
          <w:szCs w:val="18"/>
        </w:rPr>
      </w:pPr>
    </w:p>
    <w:p w:rsidR="00DF69B3" w:rsidRPr="009E3E75" w:rsidRDefault="002B2AC4" w:rsidP="008012A8">
      <w:pPr>
        <w:spacing w:after="0" w:line="240" w:lineRule="auto"/>
        <w:ind w:left="1418" w:right="0" w:hanging="709"/>
        <w:rPr>
          <w:rFonts w:ascii="Times New Roman" w:hAnsi="Times New Roman" w:cs="Times New Roman"/>
          <w:sz w:val="18"/>
          <w:szCs w:val="18"/>
        </w:rPr>
      </w:pPr>
      <w:r w:rsidRPr="009E3E75">
        <w:rPr>
          <w:rFonts w:ascii="Times New Roman" w:hAnsi="Times New Roman" w:cs="Times New Roman"/>
          <w:b/>
          <w:sz w:val="18"/>
          <w:szCs w:val="18"/>
        </w:rPr>
        <w:t xml:space="preserve">I.Z.1.16. </w:t>
      </w:r>
      <w:r w:rsidRPr="009E3E75">
        <w:rPr>
          <w:rFonts w:ascii="Times New Roman" w:hAnsi="Times New Roman" w:cs="Times New Roman"/>
          <w:sz w:val="18"/>
          <w:szCs w:val="18"/>
        </w:rPr>
        <w:t xml:space="preserve">informację na temat planowanej transmisji obrad walnego zgromadzenia - nie później niż w terminie 7 dni przed datą walnego zgromadzenia, </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9E3E75">
        <w:rPr>
          <w:rFonts w:ascii="Times New Roman" w:hAnsi="Times New Roman" w:cs="Times New Roman"/>
          <w:i/>
          <w:sz w:val="18"/>
          <w:szCs w:val="18"/>
          <w:u w:val="single" w:color="000000"/>
        </w:rPr>
        <w:t>Zasada nie jest stosowana.</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b/>
          <w:i/>
          <w:sz w:val="18"/>
          <w:szCs w:val="18"/>
        </w:rPr>
        <w:t xml:space="preserve">Komentarz spółki: </w:t>
      </w:r>
      <w:r w:rsidRPr="00E54F16">
        <w:rPr>
          <w:rFonts w:ascii="Times New Roman" w:hAnsi="Times New Roman" w:cs="Times New Roman"/>
          <w:i/>
          <w:sz w:val="18"/>
          <w:szCs w:val="18"/>
        </w:rPr>
        <w:t>Spółka nie stosuje powyższej zasady. Aktualnie Statut Spółki nie zawiera zapisów dopuszczających udział w Walnych Zgromadzeniach przy wykorzystaniu środków komunikacji elektronicznej, w tym transmisję obrad zgromadzenia.</w:t>
      </w:r>
    </w:p>
    <w:p w:rsidR="00C34842" w:rsidRDefault="00C34842" w:rsidP="008012A8">
      <w:pPr>
        <w:spacing w:after="0" w:line="240" w:lineRule="auto"/>
        <w:ind w:left="1418" w:right="0" w:hanging="709"/>
        <w:rPr>
          <w:rFonts w:ascii="Times New Roman" w:hAnsi="Times New Roman" w:cs="Times New Roman"/>
          <w:b/>
          <w:sz w:val="18"/>
          <w:szCs w:val="18"/>
        </w:rPr>
      </w:pPr>
    </w:p>
    <w:p w:rsidR="00231152" w:rsidRPr="00E54F16"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lastRenderedPageBreak/>
        <w:t xml:space="preserve">I.Z.1.17. </w:t>
      </w:r>
      <w:r w:rsidRPr="00E54F16">
        <w:rPr>
          <w:rFonts w:ascii="Times New Roman" w:hAnsi="Times New Roman" w:cs="Times New Roman"/>
          <w:sz w:val="18"/>
          <w:szCs w:val="18"/>
        </w:rPr>
        <w:t>uzasadnienia do projektów uchwał walnego zgromadzenia dotyczących spraw i rozstrzygnięć istotnych lub mogących budzić wątpliwości akcjonariuszy – w terminie umożliwiającym uczestnikom walnego zgromadzenia zapoznanie się z nimi oraz podjęcie uchwały z należytym rozeznaniem,</w:t>
      </w:r>
    </w:p>
    <w:p w:rsidR="00231152" w:rsidRPr="00E54F16" w:rsidRDefault="002B2AC4" w:rsidP="008012A8">
      <w:pPr>
        <w:spacing w:after="0" w:line="240" w:lineRule="auto"/>
        <w:ind w:left="1418"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C34842" w:rsidRDefault="00C34842" w:rsidP="008012A8">
      <w:pPr>
        <w:spacing w:after="0" w:line="240" w:lineRule="auto"/>
        <w:ind w:left="1418" w:right="0" w:hanging="709"/>
        <w:rPr>
          <w:rFonts w:ascii="Times New Roman" w:hAnsi="Times New Roman" w:cs="Times New Roman"/>
          <w:b/>
          <w:sz w:val="18"/>
          <w:szCs w:val="18"/>
        </w:rPr>
      </w:pPr>
    </w:p>
    <w:p w:rsidR="00DF69B3"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I.Z.1.18. </w:t>
      </w:r>
      <w:r w:rsidRPr="00E54F16">
        <w:rPr>
          <w:rFonts w:ascii="Times New Roman" w:hAnsi="Times New Roman" w:cs="Times New Roman"/>
          <w:sz w:val="18"/>
          <w:szCs w:val="18"/>
        </w:rPr>
        <w:t xml:space="preserve">informację na temat powodów odwołania walnego zgromadzenia, zmiany terminu lub porządku obrad, a także informację o przerwie w obradach walnego zgromadzenia i powodach zarządzenia przerwy, </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C34842" w:rsidRDefault="00C34842" w:rsidP="008012A8">
      <w:pPr>
        <w:spacing w:after="0" w:line="240" w:lineRule="auto"/>
        <w:ind w:left="1418" w:right="0" w:hanging="709"/>
        <w:rPr>
          <w:rFonts w:ascii="Times New Roman" w:hAnsi="Times New Roman" w:cs="Times New Roman"/>
          <w:b/>
          <w:sz w:val="18"/>
          <w:szCs w:val="18"/>
        </w:rPr>
      </w:pPr>
    </w:p>
    <w:p w:rsidR="00DF69B3"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I.Z.1.19. </w:t>
      </w:r>
      <w:r w:rsidRPr="00E54F16">
        <w:rPr>
          <w:rFonts w:ascii="Times New Roman" w:hAnsi="Times New Roman" w:cs="Times New Roman"/>
          <w:sz w:val="18"/>
          <w:szCs w:val="18"/>
        </w:rPr>
        <w:t xml:space="preserve">pytania akcjonariuszy skierowane do zarządu w trybie art. 428 § 1 lub § 6 Kodeksu spółek handlowych, wraz z odpowiedziami zarządu na zadane pytania, bądź też szczegółowe wskazanie przyczyn nieudzielenia odpowiedzi, zgodnie z zasadą IV.Z.13, </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C34842" w:rsidRDefault="00C34842" w:rsidP="008012A8">
      <w:pPr>
        <w:spacing w:after="0" w:line="240" w:lineRule="auto"/>
        <w:ind w:left="1418" w:right="0" w:hanging="709"/>
        <w:rPr>
          <w:rFonts w:ascii="Times New Roman" w:hAnsi="Times New Roman" w:cs="Times New Roman"/>
          <w:b/>
          <w:sz w:val="18"/>
          <w:szCs w:val="18"/>
        </w:rPr>
      </w:pPr>
    </w:p>
    <w:p w:rsidR="008012A8"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I.Z.1.20. </w:t>
      </w:r>
      <w:r w:rsidRPr="00E54F16">
        <w:rPr>
          <w:rFonts w:ascii="Times New Roman" w:hAnsi="Times New Roman" w:cs="Times New Roman"/>
          <w:sz w:val="18"/>
          <w:szCs w:val="18"/>
        </w:rPr>
        <w:t xml:space="preserve">zapis przebiegu obrad walnego zgromadzenia, w formie audio lub wideo, </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C34842" w:rsidRDefault="00C34842" w:rsidP="008012A8">
      <w:pPr>
        <w:spacing w:after="0" w:line="240" w:lineRule="auto"/>
        <w:ind w:left="1418" w:right="0" w:hanging="709"/>
        <w:rPr>
          <w:rFonts w:ascii="Times New Roman" w:hAnsi="Times New Roman" w:cs="Times New Roman"/>
          <w:b/>
          <w:sz w:val="18"/>
          <w:szCs w:val="18"/>
        </w:rPr>
      </w:pPr>
    </w:p>
    <w:p w:rsidR="008012A8" w:rsidRDefault="002B2AC4" w:rsidP="008012A8">
      <w:pPr>
        <w:spacing w:after="0" w:line="240" w:lineRule="auto"/>
        <w:ind w:left="1418"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I.Z.1.21. </w:t>
      </w:r>
      <w:r w:rsidRPr="00E54F16">
        <w:rPr>
          <w:rFonts w:ascii="Times New Roman" w:hAnsi="Times New Roman" w:cs="Times New Roman"/>
          <w:sz w:val="18"/>
          <w:szCs w:val="18"/>
        </w:rPr>
        <w:t xml:space="preserve">dane kontaktowe do osób odpowiedzialnych w spółce za komunikację z inwestorami, ze wskazaniem imienia i nazwiska oraz adresu e-mail lub numeru telefonu. </w:t>
      </w:r>
    </w:p>
    <w:p w:rsidR="00231152" w:rsidRPr="00E54F16" w:rsidRDefault="002B2AC4" w:rsidP="008012A8">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C34842" w:rsidRDefault="00C3484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I.Z.2. </w:t>
      </w:r>
      <w:r w:rsidR="008012A8">
        <w:rPr>
          <w:rFonts w:ascii="Times New Roman" w:hAnsi="Times New Roman" w:cs="Times New Roman"/>
          <w:b/>
          <w:sz w:val="18"/>
          <w:szCs w:val="18"/>
        </w:rPr>
        <w:t xml:space="preserve">   </w:t>
      </w:r>
      <w:r w:rsidR="009E3E75">
        <w:rPr>
          <w:rFonts w:ascii="Times New Roman" w:hAnsi="Times New Roman" w:cs="Times New Roman"/>
          <w:b/>
          <w:sz w:val="18"/>
          <w:szCs w:val="18"/>
        </w:rPr>
        <w:tab/>
      </w:r>
      <w:r w:rsidRPr="00E54F16">
        <w:rPr>
          <w:rFonts w:ascii="Times New Roman" w:hAnsi="Times New Roman" w:cs="Times New Roman"/>
          <w:sz w:val="18"/>
          <w:szCs w:val="18"/>
        </w:rPr>
        <w:t>Spółka, której akcje zakwalifikowane są do indeksów giełdowych WIG20 lub mWIG40, zapewnia dostępność swojej strony internetowej również w języku angielskim, przynajmniej w zakresie wskazanym w zasadzie I.Z.1. Niniejszą zasadę powinny stosować również spółki spoza powyższych indeksów, jeżeli przemawia za tym struktura ich akcjonariatu lub charakter i zakres prowadzonej działalności.</w:t>
      </w:r>
    </w:p>
    <w:p w:rsidR="00231152" w:rsidRPr="00E54F16" w:rsidRDefault="002B2AC4" w:rsidP="008012A8">
      <w:pPr>
        <w:spacing w:after="0" w:line="240" w:lineRule="auto"/>
        <w:ind w:left="709"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dotyczy spółki.</w:t>
      </w:r>
    </w:p>
    <w:p w:rsidR="00231152" w:rsidRDefault="002B2AC4" w:rsidP="008012A8">
      <w:pPr>
        <w:spacing w:after="0" w:line="240" w:lineRule="auto"/>
        <w:ind w:left="709" w:right="0" w:firstLine="0"/>
        <w:rPr>
          <w:rFonts w:ascii="Times New Roman" w:hAnsi="Times New Roman" w:cs="Times New Roman"/>
          <w:i/>
          <w:sz w:val="18"/>
          <w:szCs w:val="18"/>
        </w:rPr>
      </w:pPr>
      <w:r w:rsidRPr="00E54F16">
        <w:rPr>
          <w:rFonts w:ascii="Times New Roman" w:hAnsi="Times New Roman" w:cs="Times New Roman"/>
          <w:b/>
          <w:i/>
          <w:sz w:val="18"/>
          <w:szCs w:val="18"/>
        </w:rPr>
        <w:t xml:space="preserve">Komentarz spółki: </w:t>
      </w:r>
      <w:r w:rsidRPr="00E54F16">
        <w:rPr>
          <w:rFonts w:ascii="Times New Roman" w:hAnsi="Times New Roman" w:cs="Times New Roman"/>
          <w:i/>
          <w:sz w:val="18"/>
          <w:szCs w:val="18"/>
        </w:rPr>
        <w:t>Zasada nie dotyczy Spółki. Akcje Spółki nie są zakwalifikowane do indeksów giełdowych WIG20 lub mWIG40. Za stosowaniem tej zasady nie przemawia również struktura akcjonariatu oraz charakter i zakres prowadzonej działalności. Spółka zapewnia jednak dostępność swojej strony internetowej w języku angielskim w zakresie podstawowych informacji dotyczących Spółki.</w:t>
      </w:r>
    </w:p>
    <w:p w:rsidR="008012A8" w:rsidRDefault="008012A8" w:rsidP="008012A8">
      <w:pPr>
        <w:spacing w:after="0" w:line="240" w:lineRule="auto"/>
        <w:ind w:left="709" w:right="0" w:firstLine="0"/>
        <w:rPr>
          <w:rFonts w:ascii="Times New Roman" w:hAnsi="Times New Roman" w:cs="Times New Roman"/>
          <w:sz w:val="18"/>
          <w:szCs w:val="18"/>
        </w:rPr>
      </w:pPr>
    </w:p>
    <w:p w:rsidR="008012A8" w:rsidRPr="00E54F16" w:rsidRDefault="008012A8" w:rsidP="008012A8">
      <w:pPr>
        <w:spacing w:after="0" w:line="240" w:lineRule="auto"/>
        <w:ind w:left="709" w:right="0" w:firstLine="0"/>
        <w:rPr>
          <w:rFonts w:ascii="Times New Roman" w:hAnsi="Times New Roman" w:cs="Times New Roman"/>
          <w:sz w:val="18"/>
          <w:szCs w:val="18"/>
        </w:rPr>
      </w:pPr>
    </w:p>
    <w:p w:rsidR="00231152" w:rsidRPr="00D92382" w:rsidRDefault="002B2AC4" w:rsidP="008012A8">
      <w:pPr>
        <w:pStyle w:val="Nagwek1"/>
        <w:spacing w:after="0" w:line="240" w:lineRule="auto"/>
        <w:ind w:left="709" w:hanging="709"/>
        <w:rPr>
          <w:rFonts w:ascii="Times New Roman" w:hAnsi="Times New Roman" w:cs="Times New Roman"/>
          <w:sz w:val="24"/>
        </w:rPr>
      </w:pPr>
      <w:r w:rsidRPr="00D92382">
        <w:rPr>
          <w:rFonts w:ascii="Times New Roman" w:hAnsi="Times New Roman" w:cs="Times New Roman"/>
          <w:sz w:val="24"/>
        </w:rPr>
        <w:t>Zarząd i Rada Nadzorcza</w:t>
      </w:r>
    </w:p>
    <w:p w:rsidR="008012A8" w:rsidRDefault="008012A8" w:rsidP="008012A8">
      <w:pPr>
        <w:spacing w:after="0" w:line="240" w:lineRule="auto"/>
        <w:ind w:left="618" w:hanging="618"/>
      </w:pPr>
    </w:p>
    <w:p w:rsidR="008012A8" w:rsidRPr="008012A8" w:rsidRDefault="008012A8" w:rsidP="008012A8">
      <w:pPr>
        <w:spacing w:after="0" w:line="240" w:lineRule="auto"/>
      </w:pPr>
    </w:p>
    <w:p w:rsidR="00231152" w:rsidRDefault="002B2AC4" w:rsidP="007558E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Spółką giełdową kieruje zarząd, jego członkowie działają w interesie spółki i ponoszą odpowiedzialność za jej działalność. Do zarządu należy w szczególności przywództwo w spółce, zaangażowanie w wyznaczanie jej celów strategicznych i ich realizacja oraz zapewnienie spółce efektywności i bezpieczeństwa.</w:t>
      </w:r>
    </w:p>
    <w:p w:rsidR="007558E2" w:rsidRPr="00E54F16" w:rsidRDefault="007558E2" w:rsidP="007558E2">
      <w:pPr>
        <w:spacing w:after="0" w:line="240" w:lineRule="auto"/>
        <w:ind w:left="0" w:right="0" w:firstLine="0"/>
        <w:rPr>
          <w:rFonts w:ascii="Times New Roman" w:hAnsi="Times New Roman" w:cs="Times New Roman"/>
          <w:sz w:val="18"/>
          <w:szCs w:val="18"/>
        </w:rPr>
      </w:pPr>
    </w:p>
    <w:p w:rsidR="00231152" w:rsidRDefault="002B2AC4" w:rsidP="007558E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Spółka jest nadzorowana przez skuteczną i kompetentną radę nadzorczą. Członkowie rady nadzorczej działają w interesie spółki i kierują się w swoim postępowaniu niezależnością własnych opinii i osądów. Rada nadzorcza w szczególności opiniuje strategię spółki i weryfikuje pracę zarządu w zakresie osiągania ustalonych celów strategicznych oraz monitoruje wyniki osiągane przez spółkę.</w:t>
      </w:r>
    </w:p>
    <w:p w:rsidR="007558E2" w:rsidRDefault="007558E2" w:rsidP="007558E2">
      <w:pPr>
        <w:spacing w:after="0" w:line="240" w:lineRule="auto"/>
        <w:ind w:left="0" w:right="0" w:firstLine="0"/>
        <w:rPr>
          <w:rFonts w:ascii="Times New Roman" w:hAnsi="Times New Roman" w:cs="Times New Roman"/>
          <w:b/>
          <w:sz w:val="18"/>
          <w:szCs w:val="18"/>
        </w:rPr>
      </w:pPr>
    </w:p>
    <w:p w:rsidR="007558E2" w:rsidRPr="007558E2" w:rsidRDefault="007558E2" w:rsidP="007558E2">
      <w:pPr>
        <w:spacing w:after="0" w:line="240" w:lineRule="auto"/>
        <w:ind w:left="0" w:right="0" w:firstLine="0"/>
        <w:rPr>
          <w:rFonts w:ascii="Times New Roman" w:hAnsi="Times New Roman" w:cs="Times New Roman"/>
          <w:sz w:val="20"/>
          <w:szCs w:val="18"/>
        </w:rPr>
      </w:pPr>
    </w:p>
    <w:p w:rsidR="00231152" w:rsidRDefault="002B2AC4" w:rsidP="008012A8">
      <w:pPr>
        <w:spacing w:after="0" w:line="240" w:lineRule="auto"/>
        <w:ind w:left="709" w:right="0" w:hanging="709"/>
        <w:jc w:val="left"/>
        <w:rPr>
          <w:rFonts w:ascii="Times New Roman" w:hAnsi="Times New Roman" w:cs="Times New Roman"/>
          <w:b/>
          <w:sz w:val="20"/>
          <w:szCs w:val="18"/>
        </w:rPr>
      </w:pPr>
      <w:r w:rsidRPr="007558E2">
        <w:rPr>
          <w:rFonts w:ascii="Times New Roman" w:hAnsi="Times New Roman" w:cs="Times New Roman"/>
          <w:b/>
          <w:sz w:val="20"/>
          <w:szCs w:val="18"/>
        </w:rPr>
        <w:t>Rekomendacje</w:t>
      </w:r>
    </w:p>
    <w:p w:rsidR="007558E2" w:rsidRPr="007558E2" w:rsidRDefault="007558E2" w:rsidP="008012A8">
      <w:pPr>
        <w:spacing w:after="0" w:line="240" w:lineRule="auto"/>
        <w:ind w:left="709" w:right="0" w:hanging="709"/>
        <w:jc w:val="left"/>
        <w:rPr>
          <w:rFonts w:ascii="Times New Roman" w:hAnsi="Times New Roman" w:cs="Times New Roman"/>
          <w:sz w:val="20"/>
          <w:szCs w:val="18"/>
        </w:rPr>
      </w:pPr>
    </w:p>
    <w:p w:rsidR="0022714E"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II.R.1. </w:t>
      </w:r>
      <w:r w:rsidR="0022714E">
        <w:rPr>
          <w:rFonts w:ascii="Times New Roman" w:hAnsi="Times New Roman" w:cs="Times New Roman"/>
          <w:b/>
          <w:sz w:val="18"/>
          <w:szCs w:val="18"/>
        </w:rPr>
        <w:t xml:space="preserve">   </w:t>
      </w:r>
      <w:r w:rsidRPr="00E54F16">
        <w:rPr>
          <w:rFonts w:ascii="Times New Roman" w:hAnsi="Times New Roman" w:cs="Times New Roman"/>
          <w:sz w:val="18"/>
          <w:szCs w:val="18"/>
        </w:rPr>
        <w:t xml:space="preserve">W celu osiągnięcia najwyższych standardów w zakresie wykonywania przez zarząd i radę nadzorczą spółki swoich obowiązków i wywiązywania się z nich w sposób efektywny, w skład zarządu i rady nadzorczej powoływane są osoby reprezentujące wysokie kwalifikacje i doświadczenie. </w:t>
      </w:r>
    </w:p>
    <w:p w:rsidR="00231152" w:rsidRDefault="002B2AC4" w:rsidP="0022714E">
      <w:pPr>
        <w:spacing w:after="0" w:line="240" w:lineRule="auto"/>
        <w:ind w:left="709" w:right="0" w:firstLine="0"/>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22714E" w:rsidRPr="00E54F16" w:rsidRDefault="0022714E" w:rsidP="008012A8">
      <w:pPr>
        <w:spacing w:after="0" w:line="240" w:lineRule="auto"/>
        <w:ind w:left="709" w:right="0" w:hanging="709"/>
        <w:rPr>
          <w:rFonts w:ascii="Times New Roman" w:hAnsi="Times New Roman" w:cs="Times New Roman"/>
          <w:sz w:val="18"/>
          <w:szCs w:val="18"/>
        </w:rPr>
      </w:pPr>
    </w:p>
    <w:p w:rsidR="0022714E"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II.R.2. </w:t>
      </w:r>
      <w:r w:rsidR="0022714E">
        <w:rPr>
          <w:rFonts w:ascii="Times New Roman" w:hAnsi="Times New Roman" w:cs="Times New Roman"/>
          <w:b/>
          <w:sz w:val="18"/>
          <w:szCs w:val="18"/>
        </w:rPr>
        <w:t xml:space="preserve">  </w:t>
      </w:r>
      <w:r w:rsidRPr="00E54F16">
        <w:rPr>
          <w:rFonts w:ascii="Times New Roman" w:hAnsi="Times New Roman" w:cs="Times New Roman"/>
          <w:sz w:val="18"/>
          <w:szCs w:val="18"/>
        </w:rPr>
        <w:t xml:space="preserve">Osoby podejmujące decyzję w sprawie wyboru członków zarządu lub rady nadzorczej spółki powinny dążyć do zapewnienia wszechstronności i różnorodności tych organów, między innymi pod względem płci, kierunku wykształcenia, wieku i doświadczenia zawodowego. </w:t>
      </w:r>
    </w:p>
    <w:p w:rsidR="00231152" w:rsidRDefault="002B2AC4" w:rsidP="0022714E">
      <w:pPr>
        <w:spacing w:after="0" w:line="240" w:lineRule="auto"/>
        <w:ind w:left="709" w:right="0" w:firstLine="0"/>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9E3E75" w:rsidRPr="00E54F16" w:rsidRDefault="009E3E75" w:rsidP="0022714E">
      <w:pPr>
        <w:spacing w:after="0" w:line="240" w:lineRule="auto"/>
        <w:ind w:left="709" w:right="0" w:firstLine="0"/>
        <w:rPr>
          <w:rFonts w:ascii="Times New Roman" w:hAnsi="Times New Roman" w:cs="Times New Roman"/>
          <w:sz w:val="18"/>
          <w:szCs w:val="18"/>
        </w:rPr>
      </w:pPr>
    </w:p>
    <w:p w:rsidR="0022714E"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II.R.3. </w:t>
      </w:r>
      <w:r w:rsidR="0022714E">
        <w:rPr>
          <w:rFonts w:ascii="Times New Roman" w:hAnsi="Times New Roman" w:cs="Times New Roman"/>
          <w:b/>
          <w:sz w:val="18"/>
          <w:szCs w:val="18"/>
        </w:rPr>
        <w:t xml:space="preserve">  </w:t>
      </w:r>
      <w:r w:rsidRPr="00E54F16">
        <w:rPr>
          <w:rFonts w:ascii="Times New Roman" w:hAnsi="Times New Roman" w:cs="Times New Roman"/>
          <w:sz w:val="18"/>
          <w:szCs w:val="18"/>
        </w:rPr>
        <w:t xml:space="preserve">Pełnienie funkcji w zarządzie spółki stanowi główny obszar aktywności zawodowej członka zarządu. Dodatkowa aktywność zawodowa członka zarządu nie może prowadzić do takiego zaangażowania czasu i nakładu pracy, aby negatywnie wpływać na właściwe wykonywanie pełnionej funkcji w spółce. W szczególności członek zarządu nie powinien być członkiem organów innych podmiotów, jeżeli czas poświęcony na wykonywanie funkcji w innych podmiotach uniemożliwia mu rzetelne wykonywanie obowiązków w spółce. </w:t>
      </w:r>
    </w:p>
    <w:p w:rsidR="00231152" w:rsidRDefault="002B2AC4" w:rsidP="0022714E">
      <w:pPr>
        <w:spacing w:after="0" w:line="240" w:lineRule="auto"/>
        <w:ind w:left="709" w:right="0" w:firstLine="0"/>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22714E" w:rsidRPr="00E54F16" w:rsidRDefault="0022714E" w:rsidP="008012A8">
      <w:pPr>
        <w:spacing w:after="0" w:line="240" w:lineRule="auto"/>
        <w:ind w:left="709" w:right="0" w:hanging="709"/>
        <w:rPr>
          <w:rFonts w:ascii="Times New Roman" w:hAnsi="Times New Roman" w:cs="Times New Roman"/>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II.R.4. </w:t>
      </w:r>
      <w:r w:rsidR="0022714E">
        <w:rPr>
          <w:rFonts w:ascii="Times New Roman" w:hAnsi="Times New Roman" w:cs="Times New Roman"/>
          <w:b/>
          <w:sz w:val="18"/>
          <w:szCs w:val="18"/>
        </w:rPr>
        <w:t xml:space="preserve"> </w:t>
      </w:r>
      <w:r w:rsidRPr="00E54F16">
        <w:rPr>
          <w:rFonts w:ascii="Times New Roman" w:hAnsi="Times New Roman" w:cs="Times New Roman"/>
          <w:sz w:val="18"/>
          <w:szCs w:val="18"/>
        </w:rPr>
        <w:t>Członkowie rady nadzorczej powinni być w stanie poświęcić niezbędną ilość czasu na wykonywanie swoich obowiązków.</w:t>
      </w:r>
    </w:p>
    <w:p w:rsidR="00231152" w:rsidRDefault="002B2AC4" w:rsidP="0022714E">
      <w:pPr>
        <w:spacing w:after="0" w:line="240" w:lineRule="auto"/>
        <w:ind w:left="709" w:right="0" w:firstLine="0"/>
        <w:jc w:val="left"/>
        <w:rPr>
          <w:rFonts w:ascii="Times New Roman" w:hAnsi="Times New Roman" w:cs="Times New Roman"/>
          <w:i/>
          <w:sz w:val="18"/>
          <w:szCs w:val="18"/>
          <w:u w:val="single" w:color="000000"/>
        </w:rPr>
      </w:pPr>
      <w:r w:rsidRPr="00E54F16">
        <w:rPr>
          <w:rFonts w:ascii="Times New Roman" w:hAnsi="Times New Roman" w:cs="Times New Roman"/>
          <w:i/>
          <w:sz w:val="18"/>
          <w:szCs w:val="18"/>
          <w:u w:val="single" w:color="000000"/>
        </w:rPr>
        <w:t>Zasada jest stosowana.</w:t>
      </w:r>
    </w:p>
    <w:p w:rsidR="0022714E" w:rsidRPr="00E54F16" w:rsidRDefault="0022714E" w:rsidP="008012A8">
      <w:pPr>
        <w:spacing w:after="0" w:line="240" w:lineRule="auto"/>
        <w:ind w:left="709" w:right="0" w:hanging="709"/>
        <w:jc w:val="left"/>
        <w:rPr>
          <w:rFonts w:ascii="Times New Roman" w:hAnsi="Times New Roman" w:cs="Times New Roman"/>
          <w:sz w:val="18"/>
          <w:szCs w:val="18"/>
        </w:rPr>
      </w:pPr>
    </w:p>
    <w:p w:rsidR="0022714E"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II.R.5. </w:t>
      </w:r>
      <w:r w:rsidR="009E3E75">
        <w:rPr>
          <w:rFonts w:ascii="Times New Roman" w:hAnsi="Times New Roman" w:cs="Times New Roman"/>
          <w:b/>
          <w:sz w:val="18"/>
          <w:szCs w:val="18"/>
        </w:rPr>
        <w:tab/>
      </w:r>
      <w:r w:rsidRPr="00E54F16">
        <w:rPr>
          <w:rFonts w:ascii="Times New Roman" w:hAnsi="Times New Roman" w:cs="Times New Roman"/>
          <w:sz w:val="18"/>
          <w:szCs w:val="18"/>
        </w:rPr>
        <w:t xml:space="preserve">W przypadku rezygnacji lub niemożności sprawowania czynności przez członka rady nadzorczej spółka niezwłocznie podejmuje odpowiednie działania w celu uzupełnienia lub dokonania zmiany w składzie rady nadzorczej. </w:t>
      </w:r>
    </w:p>
    <w:p w:rsidR="00231152" w:rsidRPr="00E54F16" w:rsidRDefault="002B2AC4" w:rsidP="0022714E">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22714E"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II.R.6. </w:t>
      </w:r>
      <w:r w:rsidR="0022714E">
        <w:rPr>
          <w:rFonts w:ascii="Times New Roman" w:hAnsi="Times New Roman" w:cs="Times New Roman"/>
          <w:b/>
          <w:sz w:val="18"/>
          <w:szCs w:val="18"/>
        </w:rPr>
        <w:t xml:space="preserve">  </w:t>
      </w:r>
      <w:r w:rsidRPr="00E54F16">
        <w:rPr>
          <w:rFonts w:ascii="Times New Roman" w:hAnsi="Times New Roman" w:cs="Times New Roman"/>
          <w:sz w:val="18"/>
          <w:szCs w:val="18"/>
        </w:rPr>
        <w:t xml:space="preserve">Rada nadzorcza, mając świadomość upływu kadencji członków zarządu oraz ich planów dotyczących dalszego pełnienia funkcji w zarządzie, z wyprzedzeniem podejmuje działania mające na celu zapewnienie efektywnego funkcjonowania zarządu spółki. </w:t>
      </w:r>
    </w:p>
    <w:p w:rsidR="00231152" w:rsidRPr="00E54F16" w:rsidRDefault="002B2AC4" w:rsidP="0022714E">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22714E"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II.R.7.</w:t>
      </w:r>
      <w:r w:rsidR="0022714E">
        <w:rPr>
          <w:rFonts w:ascii="Times New Roman" w:hAnsi="Times New Roman" w:cs="Times New Roman"/>
          <w:b/>
          <w:sz w:val="18"/>
          <w:szCs w:val="18"/>
        </w:rPr>
        <w:t xml:space="preserve">   </w:t>
      </w:r>
      <w:r w:rsidRPr="00E54F16">
        <w:rPr>
          <w:rFonts w:ascii="Times New Roman" w:hAnsi="Times New Roman" w:cs="Times New Roman"/>
          <w:b/>
          <w:sz w:val="18"/>
          <w:szCs w:val="18"/>
        </w:rPr>
        <w:t xml:space="preserve"> </w:t>
      </w:r>
      <w:r w:rsidRPr="00E54F16">
        <w:rPr>
          <w:rFonts w:ascii="Times New Roman" w:hAnsi="Times New Roman" w:cs="Times New Roman"/>
          <w:sz w:val="18"/>
          <w:szCs w:val="18"/>
        </w:rPr>
        <w:t xml:space="preserve">Spółka zapewnia radzie nadzorczej możliwość korzystania z profesjonalnych, niezależnych usług doradczych, które w ocenie rady są niezbędne do sprawowania przez nią efektywnego nadzoru w spółce. Dokonując wyboru podmiotu świadczącego usługi doradcze, rada nadzorcza uwzględnia sytuację finansową spółki. </w:t>
      </w:r>
    </w:p>
    <w:p w:rsidR="00231152" w:rsidRPr="00E54F16" w:rsidRDefault="002B2AC4" w:rsidP="0022714E">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Pr="0022714E" w:rsidRDefault="0022714E" w:rsidP="008012A8">
      <w:pPr>
        <w:spacing w:after="0" w:line="240" w:lineRule="auto"/>
        <w:ind w:left="709" w:right="0" w:hanging="709"/>
        <w:jc w:val="left"/>
        <w:rPr>
          <w:rFonts w:ascii="Times New Roman" w:hAnsi="Times New Roman" w:cs="Times New Roman"/>
          <w:b/>
          <w:sz w:val="20"/>
          <w:szCs w:val="18"/>
        </w:rPr>
      </w:pPr>
    </w:p>
    <w:p w:rsidR="00231152" w:rsidRDefault="002B2AC4" w:rsidP="008012A8">
      <w:pPr>
        <w:spacing w:after="0" w:line="240" w:lineRule="auto"/>
        <w:ind w:left="709" w:right="0" w:hanging="709"/>
        <w:jc w:val="left"/>
        <w:rPr>
          <w:rFonts w:ascii="Times New Roman" w:hAnsi="Times New Roman" w:cs="Times New Roman"/>
          <w:b/>
          <w:sz w:val="20"/>
          <w:szCs w:val="18"/>
        </w:rPr>
      </w:pPr>
      <w:r w:rsidRPr="0022714E">
        <w:rPr>
          <w:rFonts w:ascii="Times New Roman" w:hAnsi="Times New Roman" w:cs="Times New Roman"/>
          <w:b/>
          <w:sz w:val="20"/>
          <w:szCs w:val="18"/>
        </w:rPr>
        <w:t>Zasady szczegółowe</w:t>
      </w:r>
    </w:p>
    <w:p w:rsidR="0022714E" w:rsidRPr="0022714E" w:rsidRDefault="0022714E" w:rsidP="008012A8">
      <w:pPr>
        <w:spacing w:after="0" w:line="240" w:lineRule="auto"/>
        <w:ind w:left="709" w:right="0" w:hanging="709"/>
        <w:jc w:val="left"/>
        <w:rPr>
          <w:rFonts w:ascii="Times New Roman" w:hAnsi="Times New Roman" w:cs="Times New Roman"/>
          <w:sz w:val="20"/>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9E3E75">
        <w:rPr>
          <w:rFonts w:ascii="Times New Roman" w:hAnsi="Times New Roman" w:cs="Times New Roman"/>
          <w:b/>
          <w:sz w:val="18"/>
          <w:szCs w:val="18"/>
        </w:rPr>
        <w:t xml:space="preserve">II.Z.1. </w:t>
      </w:r>
      <w:r w:rsidR="0022714E" w:rsidRPr="009E3E75">
        <w:rPr>
          <w:rFonts w:ascii="Times New Roman" w:hAnsi="Times New Roman" w:cs="Times New Roman"/>
          <w:b/>
          <w:sz w:val="18"/>
          <w:szCs w:val="18"/>
        </w:rPr>
        <w:t xml:space="preserve"> </w:t>
      </w:r>
      <w:r w:rsidRPr="009E3E75">
        <w:rPr>
          <w:rFonts w:ascii="Times New Roman" w:hAnsi="Times New Roman" w:cs="Times New Roman"/>
          <w:sz w:val="18"/>
          <w:szCs w:val="18"/>
        </w:rPr>
        <w:t>Wewnętrzny podział odpowiedzialności za poszczególne obszary działalności spółki pomiędzy członków zarządu powinien być sformułowany w sposób jednoznaczny i przejrzysty, a schemat podziału dostępny na stronie internetowej spółki.</w:t>
      </w:r>
    </w:p>
    <w:p w:rsidR="00231152" w:rsidRPr="00E54F16" w:rsidRDefault="002B2AC4" w:rsidP="0022714E">
      <w:pPr>
        <w:spacing w:after="0" w:line="240" w:lineRule="auto"/>
        <w:ind w:left="709"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22714E" w:rsidRPr="00E54F16" w:rsidRDefault="002B2AC4" w:rsidP="0022714E">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II.Z.2. </w:t>
      </w:r>
      <w:r w:rsidR="0022714E">
        <w:rPr>
          <w:rFonts w:ascii="Times New Roman" w:hAnsi="Times New Roman" w:cs="Times New Roman"/>
          <w:b/>
          <w:sz w:val="18"/>
          <w:szCs w:val="18"/>
        </w:rPr>
        <w:t xml:space="preserve">  </w:t>
      </w:r>
      <w:r w:rsidRPr="00E54F16">
        <w:rPr>
          <w:rFonts w:ascii="Times New Roman" w:hAnsi="Times New Roman" w:cs="Times New Roman"/>
          <w:sz w:val="18"/>
          <w:szCs w:val="18"/>
        </w:rPr>
        <w:t xml:space="preserve">Zasiadanie członków zarządu spółki w zarządach lub radach nadzorczych spółek spoza grupy kapitałowej spółki wymaga zgody rady nadzorczej. </w:t>
      </w:r>
    </w:p>
    <w:p w:rsidR="00231152" w:rsidRPr="00E54F16" w:rsidRDefault="002B2AC4" w:rsidP="0022714E">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Default="0022714E" w:rsidP="008012A8">
      <w:pPr>
        <w:tabs>
          <w:tab w:val="center" w:pos="4451"/>
        </w:tabs>
        <w:spacing w:after="0" w:line="240" w:lineRule="auto"/>
        <w:ind w:left="709" w:right="0" w:hanging="709"/>
        <w:jc w:val="left"/>
        <w:rPr>
          <w:rFonts w:ascii="Times New Roman" w:hAnsi="Times New Roman" w:cs="Times New Roman"/>
          <w:b/>
          <w:sz w:val="18"/>
          <w:szCs w:val="18"/>
        </w:rPr>
      </w:pPr>
    </w:p>
    <w:p w:rsidR="00231152" w:rsidRPr="009E3E75" w:rsidRDefault="002B2AC4" w:rsidP="008012A8">
      <w:pPr>
        <w:tabs>
          <w:tab w:val="center" w:pos="4451"/>
        </w:tabs>
        <w:spacing w:after="0" w:line="240" w:lineRule="auto"/>
        <w:ind w:left="709" w:right="0" w:hanging="709"/>
        <w:jc w:val="left"/>
        <w:rPr>
          <w:rFonts w:ascii="Times New Roman" w:hAnsi="Times New Roman" w:cs="Times New Roman"/>
          <w:sz w:val="18"/>
          <w:szCs w:val="18"/>
        </w:rPr>
      </w:pPr>
      <w:r w:rsidRPr="009E3E75">
        <w:rPr>
          <w:rFonts w:ascii="Times New Roman" w:hAnsi="Times New Roman" w:cs="Times New Roman"/>
          <w:b/>
          <w:sz w:val="18"/>
          <w:szCs w:val="18"/>
        </w:rPr>
        <w:t>II.Z.3.</w:t>
      </w:r>
      <w:r w:rsidRPr="009E3E75">
        <w:rPr>
          <w:rFonts w:ascii="Times New Roman" w:hAnsi="Times New Roman" w:cs="Times New Roman"/>
          <w:b/>
          <w:sz w:val="18"/>
          <w:szCs w:val="18"/>
        </w:rPr>
        <w:tab/>
      </w:r>
      <w:r w:rsidRPr="009E3E75">
        <w:rPr>
          <w:rFonts w:ascii="Times New Roman" w:hAnsi="Times New Roman" w:cs="Times New Roman"/>
          <w:sz w:val="18"/>
          <w:szCs w:val="18"/>
        </w:rPr>
        <w:t>Przynajmniej dwóch członków rady nadzorczej spełnia kryteria niezależności, o których mowa w zasadzie II.Z.4.</w:t>
      </w:r>
    </w:p>
    <w:p w:rsidR="00231152" w:rsidRPr="00E54F16" w:rsidRDefault="002B2AC4" w:rsidP="0022714E">
      <w:pPr>
        <w:spacing w:after="0" w:line="240" w:lineRule="auto"/>
        <w:ind w:left="709" w:right="0" w:firstLine="0"/>
        <w:jc w:val="left"/>
        <w:rPr>
          <w:rFonts w:ascii="Times New Roman" w:hAnsi="Times New Roman" w:cs="Times New Roman"/>
          <w:sz w:val="18"/>
          <w:szCs w:val="18"/>
        </w:rPr>
      </w:pPr>
      <w:r w:rsidRPr="009E3E75">
        <w:rPr>
          <w:rFonts w:ascii="Times New Roman" w:hAnsi="Times New Roman" w:cs="Times New Roman"/>
          <w:i/>
          <w:sz w:val="18"/>
          <w:szCs w:val="18"/>
          <w:u w:val="single" w:color="000000"/>
        </w:rPr>
        <w:t>Zasada jest stosowana.</w:t>
      </w:r>
    </w:p>
    <w:p w:rsidR="0022714E" w:rsidRDefault="0022714E" w:rsidP="0022714E">
      <w:pPr>
        <w:spacing w:after="0" w:line="240" w:lineRule="auto"/>
        <w:ind w:left="709" w:right="0" w:firstLine="0"/>
        <w:rPr>
          <w:rFonts w:ascii="Times New Roman" w:hAnsi="Times New Roman" w:cs="Times New Roman"/>
          <w:b/>
          <w:sz w:val="18"/>
          <w:szCs w:val="18"/>
        </w:rPr>
      </w:pPr>
    </w:p>
    <w:p w:rsidR="000F5302" w:rsidRPr="00E54F16" w:rsidRDefault="002B2AC4" w:rsidP="000F530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II.Z.4. </w:t>
      </w:r>
      <w:r w:rsidR="0022714E">
        <w:rPr>
          <w:rFonts w:ascii="Times New Roman" w:hAnsi="Times New Roman" w:cs="Times New Roman"/>
          <w:b/>
          <w:sz w:val="18"/>
          <w:szCs w:val="18"/>
        </w:rPr>
        <w:t xml:space="preserve"> </w:t>
      </w:r>
      <w:r w:rsidRPr="00E54F16">
        <w:rPr>
          <w:rFonts w:ascii="Times New Roman" w:hAnsi="Times New Roman" w:cs="Times New Roman"/>
          <w:sz w:val="18"/>
          <w:szCs w:val="18"/>
        </w:rPr>
        <w:t xml:space="preserve">W zakresie kryteriów niezależności członków rady nadzorczej stosuje się Załącznik II do Zalecenia Komisji Europejskiej 2005/162/WE z dnia 15 lutego 2005 r. dotyczącego roli dyrektorów </w:t>
      </w:r>
      <w:proofErr w:type="spellStart"/>
      <w:r w:rsidRPr="00E54F16">
        <w:rPr>
          <w:rFonts w:ascii="Times New Roman" w:hAnsi="Times New Roman" w:cs="Times New Roman"/>
          <w:sz w:val="18"/>
          <w:szCs w:val="18"/>
        </w:rPr>
        <w:t>niewykonawczych</w:t>
      </w:r>
      <w:proofErr w:type="spellEnd"/>
      <w:r w:rsidRPr="00E54F16">
        <w:rPr>
          <w:rFonts w:ascii="Times New Roman" w:hAnsi="Times New Roman" w:cs="Times New Roman"/>
          <w:sz w:val="18"/>
          <w:szCs w:val="18"/>
        </w:rPr>
        <w:t xml:space="preserve"> lub będących członkami rady nadzorczej spółek giełdowych i komisji rady (nadzorczej). Niezależnie od postanowień pkt 1 lit. b) dokumentu, o którym mowa w poprzednim zdaniu, osoba będąca pracownikiem spółki, podmiotu zależnego lub podmiotu stowarzyszonego, jak również osoba związana z tymi podmiotami umową o podobnym charakterze, nie może być uznana za spełniającą kryteria niezależności. Za powiązanie z akcjonariuszem wykluczające przymiot niezależności członka rady nadzorczej w rozumieniu niniejszej zasady rozumie się także rzeczywiste i istotne powiązania z akcjonariuszem posiadającym co najmniej 5% ogólnej liczby głosów w spółce. </w:t>
      </w:r>
    </w:p>
    <w:p w:rsidR="00231152" w:rsidRPr="00E54F16" w:rsidRDefault="002B2AC4" w:rsidP="000F5302">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0F5302"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II.Z.5. </w:t>
      </w:r>
      <w:r w:rsidR="000F5302">
        <w:rPr>
          <w:rFonts w:ascii="Times New Roman" w:hAnsi="Times New Roman" w:cs="Times New Roman"/>
          <w:b/>
          <w:sz w:val="18"/>
          <w:szCs w:val="18"/>
        </w:rPr>
        <w:t xml:space="preserve">   </w:t>
      </w:r>
      <w:r w:rsidRPr="00E54F16">
        <w:rPr>
          <w:rFonts w:ascii="Times New Roman" w:hAnsi="Times New Roman" w:cs="Times New Roman"/>
          <w:sz w:val="18"/>
          <w:szCs w:val="18"/>
        </w:rPr>
        <w:t>Członek rady nadzorczej przekazuje pozostałym członkom rady oraz zarządowi spółki oświadczenie o spełnianiu przez niego kryteriów niezależności określonych w zasadzie II.Z.4.</w:t>
      </w:r>
    </w:p>
    <w:p w:rsidR="00231152" w:rsidRPr="00E54F16" w:rsidRDefault="000F5302" w:rsidP="008012A8">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002B2AC4"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0F5302" w:rsidRDefault="002B2AC4" w:rsidP="000F530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II.Z.6. </w:t>
      </w:r>
      <w:r w:rsidRPr="00E54F16">
        <w:rPr>
          <w:rFonts w:ascii="Times New Roman" w:hAnsi="Times New Roman" w:cs="Times New Roman"/>
          <w:sz w:val="18"/>
          <w:szCs w:val="18"/>
        </w:rPr>
        <w:t xml:space="preserve">Rada nadzorcza ocenia, czy istnieją związki lub okoliczności, które mogą wpływać na spełnienie przez danego członka rady kryteriów niezależności. Ocena spełniania kryteriów niezależności przez członków rady nadzorczej przedstawiana jest przez radę zgodnie z zasadą II.Z.10.2. </w:t>
      </w:r>
    </w:p>
    <w:p w:rsidR="00231152" w:rsidRPr="00E54F16" w:rsidRDefault="000F5302" w:rsidP="000F530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0F5302" w:rsidRDefault="002B2AC4" w:rsidP="000F530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II.Z.7. </w:t>
      </w:r>
      <w:r w:rsidR="000F530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W zakresie zadań i funkcjonowania komitetów działających w radzie nadzorczej zastosowanie mają postanowienia Załącznika I do Zalecenia Komisji Europejskiej, o którym mowa w zasadzie II.Z.4. W przypadku gdy funkcję komitetu audytu pełni rada nadzorcza, powyższe zasady stosuje się odpowiednio. </w:t>
      </w:r>
    </w:p>
    <w:p w:rsidR="00231152" w:rsidRPr="00E54F16" w:rsidRDefault="000F5302" w:rsidP="000F530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8012A8">
      <w:pPr>
        <w:tabs>
          <w:tab w:val="center" w:pos="3751"/>
        </w:tabs>
        <w:spacing w:after="0" w:line="240" w:lineRule="auto"/>
        <w:ind w:left="709" w:right="0" w:hanging="709"/>
        <w:jc w:val="left"/>
        <w:rPr>
          <w:rFonts w:ascii="Times New Roman" w:hAnsi="Times New Roman" w:cs="Times New Roman"/>
          <w:b/>
          <w:sz w:val="18"/>
          <w:szCs w:val="18"/>
        </w:rPr>
      </w:pPr>
    </w:p>
    <w:p w:rsidR="00231152" w:rsidRPr="009E3E75" w:rsidRDefault="002B2AC4" w:rsidP="008012A8">
      <w:pPr>
        <w:tabs>
          <w:tab w:val="center" w:pos="3751"/>
        </w:tabs>
        <w:spacing w:after="0" w:line="240" w:lineRule="auto"/>
        <w:ind w:left="709" w:right="0" w:hanging="709"/>
        <w:jc w:val="left"/>
        <w:rPr>
          <w:rFonts w:ascii="Times New Roman" w:hAnsi="Times New Roman" w:cs="Times New Roman"/>
          <w:sz w:val="18"/>
          <w:szCs w:val="18"/>
        </w:rPr>
      </w:pPr>
      <w:r w:rsidRPr="009E3E75">
        <w:rPr>
          <w:rFonts w:ascii="Times New Roman" w:hAnsi="Times New Roman" w:cs="Times New Roman"/>
          <w:b/>
          <w:sz w:val="18"/>
          <w:szCs w:val="18"/>
        </w:rPr>
        <w:t>II.Z.8.</w:t>
      </w:r>
      <w:r w:rsidRPr="009E3E75">
        <w:rPr>
          <w:rFonts w:ascii="Times New Roman" w:hAnsi="Times New Roman" w:cs="Times New Roman"/>
          <w:b/>
          <w:sz w:val="18"/>
          <w:szCs w:val="18"/>
        </w:rPr>
        <w:tab/>
      </w:r>
      <w:r w:rsidRPr="009E3E75">
        <w:rPr>
          <w:rFonts w:ascii="Times New Roman" w:hAnsi="Times New Roman" w:cs="Times New Roman"/>
          <w:sz w:val="18"/>
          <w:szCs w:val="18"/>
        </w:rPr>
        <w:t>Przewodniczący komitetu audytu spełnia kryteria niezależności wskazane w zasadzie II.Z.4.</w:t>
      </w:r>
    </w:p>
    <w:p w:rsidR="00231152" w:rsidRPr="00E54F16" w:rsidRDefault="000F5302" w:rsidP="000F5302">
      <w:pPr>
        <w:spacing w:after="0" w:line="240" w:lineRule="auto"/>
        <w:ind w:left="709" w:right="0" w:hanging="709"/>
        <w:jc w:val="left"/>
        <w:rPr>
          <w:rFonts w:ascii="Times New Roman" w:hAnsi="Times New Roman" w:cs="Times New Roman"/>
          <w:sz w:val="18"/>
          <w:szCs w:val="18"/>
        </w:rPr>
      </w:pPr>
      <w:r w:rsidRPr="009E3E75">
        <w:rPr>
          <w:rFonts w:ascii="Times New Roman" w:hAnsi="Times New Roman" w:cs="Times New Roman"/>
          <w:b/>
          <w:sz w:val="18"/>
          <w:szCs w:val="18"/>
        </w:rPr>
        <w:t xml:space="preserve">               </w:t>
      </w:r>
      <w:r w:rsidRPr="009E3E75">
        <w:rPr>
          <w:rFonts w:ascii="Times New Roman" w:hAnsi="Times New Roman" w:cs="Times New Roman"/>
          <w:sz w:val="18"/>
          <w:szCs w:val="18"/>
        </w:rPr>
        <w:t xml:space="preserve"> </w:t>
      </w:r>
      <w:r w:rsidR="009E3E75" w:rsidRPr="00E54F16">
        <w:rPr>
          <w:rFonts w:ascii="Times New Roman" w:hAnsi="Times New Roman" w:cs="Times New Roman"/>
          <w:i/>
          <w:sz w:val="18"/>
          <w:szCs w:val="18"/>
          <w:u w:val="single" w:color="000000"/>
        </w:rPr>
        <w:t>Zasada jest stosowana.</w:t>
      </w:r>
    </w:p>
    <w:p w:rsidR="0022714E" w:rsidRDefault="0022714E" w:rsidP="00004E59">
      <w:pPr>
        <w:spacing w:after="0" w:line="240" w:lineRule="auto"/>
        <w:ind w:left="709" w:right="0" w:firstLine="0"/>
        <w:rPr>
          <w:rFonts w:ascii="Times New Roman" w:hAnsi="Times New Roman" w:cs="Times New Roman"/>
          <w:b/>
          <w:sz w:val="18"/>
          <w:szCs w:val="18"/>
        </w:rPr>
      </w:pPr>
    </w:p>
    <w:p w:rsidR="000F5302" w:rsidRDefault="002B2AC4" w:rsidP="000F530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II.Z.9. </w:t>
      </w:r>
      <w:r w:rsidR="000F530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W celu umożliwienia realizacji zadań przez radę nadzorczą zarząd spółki zapewnia radzie dostęp do informacji o sprawach dotyczących spółki. </w:t>
      </w:r>
    </w:p>
    <w:p w:rsidR="00231152" w:rsidRPr="00E54F16" w:rsidRDefault="000F5302" w:rsidP="000F530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II.Z.10. </w:t>
      </w:r>
      <w:r w:rsidR="000F5302">
        <w:rPr>
          <w:rFonts w:ascii="Times New Roman" w:hAnsi="Times New Roman" w:cs="Times New Roman"/>
          <w:b/>
          <w:sz w:val="18"/>
          <w:szCs w:val="18"/>
        </w:rPr>
        <w:t xml:space="preserve"> </w:t>
      </w:r>
      <w:r w:rsidRPr="00E54F16">
        <w:rPr>
          <w:rFonts w:ascii="Times New Roman" w:hAnsi="Times New Roman" w:cs="Times New Roman"/>
          <w:sz w:val="18"/>
          <w:szCs w:val="18"/>
        </w:rPr>
        <w:t>Poza czynnościami wynikającymi z przepisów prawa raz w roku rada nadzorcza sporządza i przedstawia zwyczajnemu walnemu zgromadzeniu:</w:t>
      </w:r>
    </w:p>
    <w:p w:rsidR="0022714E" w:rsidRDefault="0022714E" w:rsidP="008012A8">
      <w:pPr>
        <w:spacing w:after="0" w:line="240" w:lineRule="auto"/>
        <w:ind w:left="709" w:right="0" w:hanging="709"/>
        <w:rPr>
          <w:rFonts w:ascii="Times New Roman" w:hAnsi="Times New Roman" w:cs="Times New Roman"/>
          <w:b/>
          <w:sz w:val="18"/>
          <w:szCs w:val="18"/>
        </w:rPr>
      </w:pPr>
    </w:p>
    <w:p w:rsidR="00206F77" w:rsidRDefault="00206F77" w:rsidP="008012A8">
      <w:pPr>
        <w:spacing w:after="0" w:line="240" w:lineRule="auto"/>
        <w:ind w:left="709" w:right="0" w:hanging="709"/>
        <w:rPr>
          <w:rFonts w:ascii="Times New Roman" w:hAnsi="Times New Roman" w:cs="Times New Roman"/>
          <w:b/>
          <w:sz w:val="18"/>
          <w:szCs w:val="18"/>
        </w:rPr>
      </w:pPr>
    </w:p>
    <w:p w:rsidR="00C91CB0" w:rsidRDefault="002B2AC4" w:rsidP="00C91CB0">
      <w:pPr>
        <w:spacing w:after="0" w:line="240" w:lineRule="auto"/>
        <w:ind w:left="1418" w:right="0" w:hanging="851"/>
        <w:rPr>
          <w:rFonts w:ascii="Times New Roman" w:hAnsi="Times New Roman" w:cs="Times New Roman"/>
          <w:sz w:val="18"/>
          <w:szCs w:val="18"/>
        </w:rPr>
      </w:pPr>
      <w:r w:rsidRPr="00E54F16">
        <w:rPr>
          <w:rFonts w:ascii="Times New Roman" w:hAnsi="Times New Roman" w:cs="Times New Roman"/>
          <w:b/>
          <w:sz w:val="18"/>
          <w:szCs w:val="18"/>
        </w:rPr>
        <w:lastRenderedPageBreak/>
        <w:t>II.Z.10.1</w:t>
      </w:r>
      <w:r w:rsidR="00C91CB0">
        <w:rPr>
          <w:rFonts w:ascii="Times New Roman" w:hAnsi="Times New Roman" w:cs="Times New Roman"/>
          <w:b/>
          <w:sz w:val="18"/>
          <w:szCs w:val="18"/>
        </w:rPr>
        <w:t>.</w:t>
      </w:r>
      <w:r w:rsidRPr="00E54F16">
        <w:rPr>
          <w:rFonts w:ascii="Times New Roman" w:hAnsi="Times New Roman" w:cs="Times New Roman"/>
          <w:b/>
          <w:sz w:val="18"/>
          <w:szCs w:val="18"/>
        </w:rPr>
        <w:t xml:space="preserve"> </w:t>
      </w:r>
      <w:r w:rsidR="00C91CB0">
        <w:rPr>
          <w:rFonts w:ascii="Times New Roman" w:hAnsi="Times New Roman" w:cs="Times New Roman"/>
          <w:b/>
          <w:sz w:val="18"/>
          <w:szCs w:val="18"/>
        </w:rPr>
        <w:t xml:space="preserve"> </w:t>
      </w:r>
      <w:r w:rsidRPr="00E54F16">
        <w:rPr>
          <w:rFonts w:ascii="Times New Roman" w:hAnsi="Times New Roman" w:cs="Times New Roman"/>
          <w:sz w:val="18"/>
          <w:szCs w:val="18"/>
        </w:rPr>
        <w:t>ocenę sytuacji spółki, z uwzględnieniem oceny systemów kontroli wewnętrznej, zarządzania ryzykiem,</w:t>
      </w:r>
      <w:r w:rsidR="00C91CB0">
        <w:rPr>
          <w:rFonts w:ascii="Times New Roman" w:hAnsi="Times New Roman" w:cs="Times New Roman"/>
          <w:sz w:val="18"/>
          <w:szCs w:val="18"/>
        </w:rPr>
        <w:t xml:space="preserve"> </w:t>
      </w:r>
      <w:proofErr w:type="spellStart"/>
      <w:r w:rsidRPr="00E54F16">
        <w:rPr>
          <w:rFonts w:ascii="Times New Roman" w:hAnsi="Times New Roman" w:cs="Times New Roman"/>
          <w:sz w:val="18"/>
          <w:szCs w:val="18"/>
        </w:rPr>
        <w:t>compliance</w:t>
      </w:r>
      <w:proofErr w:type="spellEnd"/>
      <w:r w:rsidRPr="00E54F16">
        <w:rPr>
          <w:rFonts w:ascii="Times New Roman" w:hAnsi="Times New Roman" w:cs="Times New Roman"/>
          <w:sz w:val="18"/>
          <w:szCs w:val="18"/>
        </w:rPr>
        <w:t xml:space="preserve"> oraz funkcji audytu wewnętrznego; ocena ta obejmuje wszystkie istotne mechanizmy kontrolne, w tym zwłaszcza dotyczące raportowania finansowego i działalności operacyjnej; </w:t>
      </w:r>
    </w:p>
    <w:p w:rsidR="00231152" w:rsidRPr="00E54F16" w:rsidRDefault="00C91CB0" w:rsidP="00C91CB0">
      <w:pPr>
        <w:spacing w:after="0" w:line="240" w:lineRule="auto"/>
        <w:ind w:left="1418" w:right="0" w:hanging="851"/>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0F5302">
      <w:pPr>
        <w:spacing w:after="0" w:line="240" w:lineRule="auto"/>
        <w:ind w:left="1418" w:right="0" w:hanging="851"/>
        <w:rPr>
          <w:rFonts w:ascii="Times New Roman" w:hAnsi="Times New Roman" w:cs="Times New Roman"/>
          <w:b/>
          <w:sz w:val="18"/>
          <w:szCs w:val="18"/>
        </w:rPr>
      </w:pPr>
    </w:p>
    <w:p w:rsidR="00231152" w:rsidRPr="00E54F16" w:rsidRDefault="002B2AC4" w:rsidP="000F5302">
      <w:pPr>
        <w:spacing w:after="0" w:line="240" w:lineRule="auto"/>
        <w:ind w:left="1418" w:right="0" w:hanging="851"/>
        <w:rPr>
          <w:rFonts w:ascii="Times New Roman" w:hAnsi="Times New Roman" w:cs="Times New Roman"/>
          <w:sz w:val="18"/>
          <w:szCs w:val="18"/>
        </w:rPr>
      </w:pPr>
      <w:r w:rsidRPr="00E54F16">
        <w:rPr>
          <w:rFonts w:ascii="Times New Roman" w:hAnsi="Times New Roman" w:cs="Times New Roman"/>
          <w:b/>
          <w:sz w:val="18"/>
          <w:szCs w:val="18"/>
        </w:rPr>
        <w:t>II.Z.10.2</w:t>
      </w:r>
      <w:r w:rsidR="00C91CB0">
        <w:rPr>
          <w:rFonts w:ascii="Times New Roman" w:hAnsi="Times New Roman" w:cs="Times New Roman"/>
          <w:b/>
          <w:sz w:val="18"/>
          <w:szCs w:val="18"/>
        </w:rPr>
        <w:t xml:space="preserve">. </w:t>
      </w:r>
      <w:r w:rsidRPr="00E54F16">
        <w:rPr>
          <w:rFonts w:ascii="Times New Roman" w:hAnsi="Times New Roman" w:cs="Times New Roman"/>
          <w:b/>
          <w:sz w:val="18"/>
          <w:szCs w:val="18"/>
        </w:rPr>
        <w:t xml:space="preserve"> </w:t>
      </w:r>
      <w:r w:rsidRPr="00E54F16">
        <w:rPr>
          <w:rFonts w:ascii="Times New Roman" w:hAnsi="Times New Roman" w:cs="Times New Roman"/>
          <w:sz w:val="18"/>
          <w:szCs w:val="18"/>
        </w:rPr>
        <w:t>sprawozdanie z działalności rady nadzorczej, obejmujące co najmniej informacje na temat:</w:t>
      </w:r>
    </w:p>
    <w:p w:rsidR="00231152" w:rsidRPr="00E54F16" w:rsidRDefault="002B2AC4" w:rsidP="00D669B3">
      <w:pPr>
        <w:numPr>
          <w:ilvl w:val="0"/>
          <w:numId w:val="1"/>
        </w:numPr>
        <w:spacing w:after="0" w:line="240" w:lineRule="auto"/>
        <w:ind w:left="1701" w:right="0" w:hanging="142"/>
        <w:rPr>
          <w:rFonts w:ascii="Times New Roman" w:hAnsi="Times New Roman" w:cs="Times New Roman"/>
          <w:sz w:val="18"/>
          <w:szCs w:val="18"/>
        </w:rPr>
      </w:pPr>
      <w:r w:rsidRPr="00E54F16">
        <w:rPr>
          <w:rFonts w:ascii="Times New Roman" w:hAnsi="Times New Roman" w:cs="Times New Roman"/>
          <w:sz w:val="18"/>
          <w:szCs w:val="18"/>
        </w:rPr>
        <w:t>składu rady i jej komitetów,</w:t>
      </w:r>
    </w:p>
    <w:p w:rsidR="00231152" w:rsidRPr="00E54F16" w:rsidRDefault="002B2AC4" w:rsidP="00D669B3">
      <w:pPr>
        <w:numPr>
          <w:ilvl w:val="0"/>
          <w:numId w:val="1"/>
        </w:numPr>
        <w:spacing w:after="0" w:line="240" w:lineRule="auto"/>
        <w:ind w:left="1701" w:right="0" w:hanging="142"/>
        <w:rPr>
          <w:rFonts w:ascii="Times New Roman" w:hAnsi="Times New Roman" w:cs="Times New Roman"/>
          <w:sz w:val="18"/>
          <w:szCs w:val="18"/>
        </w:rPr>
      </w:pPr>
      <w:r w:rsidRPr="00E54F16">
        <w:rPr>
          <w:rFonts w:ascii="Times New Roman" w:hAnsi="Times New Roman" w:cs="Times New Roman"/>
          <w:sz w:val="18"/>
          <w:szCs w:val="18"/>
        </w:rPr>
        <w:t>spełniania przez członków rady kryteriów niezależności,</w:t>
      </w:r>
    </w:p>
    <w:p w:rsidR="00231152" w:rsidRPr="00E54F16" w:rsidRDefault="002B2AC4" w:rsidP="00D669B3">
      <w:pPr>
        <w:numPr>
          <w:ilvl w:val="0"/>
          <w:numId w:val="1"/>
        </w:numPr>
        <w:spacing w:after="0" w:line="240" w:lineRule="auto"/>
        <w:ind w:left="1701" w:right="0" w:hanging="142"/>
        <w:rPr>
          <w:rFonts w:ascii="Times New Roman" w:hAnsi="Times New Roman" w:cs="Times New Roman"/>
          <w:sz w:val="18"/>
          <w:szCs w:val="18"/>
        </w:rPr>
      </w:pPr>
      <w:r w:rsidRPr="00E54F16">
        <w:rPr>
          <w:rFonts w:ascii="Times New Roman" w:hAnsi="Times New Roman" w:cs="Times New Roman"/>
          <w:sz w:val="18"/>
          <w:szCs w:val="18"/>
        </w:rPr>
        <w:t>liczby posiedzeń rady i jej komitetów w raportowanym okresie,</w:t>
      </w:r>
    </w:p>
    <w:p w:rsidR="00C91CB0" w:rsidRDefault="002B2AC4" w:rsidP="00D669B3">
      <w:pPr>
        <w:numPr>
          <w:ilvl w:val="0"/>
          <w:numId w:val="1"/>
        </w:numPr>
        <w:spacing w:after="0" w:line="240" w:lineRule="auto"/>
        <w:ind w:left="1701" w:right="0" w:hanging="142"/>
        <w:rPr>
          <w:rFonts w:ascii="Times New Roman" w:hAnsi="Times New Roman" w:cs="Times New Roman"/>
          <w:sz w:val="18"/>
          <w:szCs w:val="18"/>
        </w:rPr>
      </w:pPr>
      <w:r w:rsidRPr="00E54F16">
        <w:rPr>
          <w:rFonts w:ascii="Times New Roman" w:hAnsi="Times New Roman" w:cs="Times New Roman"/>
          <w:sz w:val="18"/>
          <w:szCs w:val="18"/>
        </w:rPr>
        <w:t>dokonanej samooceny pracy rady nadzorczej;</w:t>
      </w:r>
    </w:p>
    <w:p w:rsidR="00231152" w:rsidRPr="00E54F16" w:rsidRDefault="002B2AC4" w:rsidP="00D669B3">
      <w:pPr>
        <w:spacing w:after="0" w:line="240" w:lineRule="auto"/>
        <w:ind w:left="1418" w:right="0" w:firstLine="0"/>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Default="0022714E" w:rsidP="000F5302">
      <w:pPr>
        <w:spacing w:after="0" w:line="240" w:lineRule="auto"/>
        <w:ind w:left="1418" w:right="0" w:hanging="851"/>
        <w:rPr>
          <w:rFonts w:ascii="Times New Roman" w:hAnsi="Times New Roman" w:cs="Times New Roman"/>
          <w:b/>
          <w:sz w:val="18"/>
          <w:szCs w:val="18"/>
        </w:rPr>
      </w:pPr>
    </w:p>
    <w:p w:rsidR="00231152" w:rsidRPr="00E54F16" w:rsidRDefault="002B2AC4" w:rsidP="00C91CB0">
      <w:pPr>
        <w:spacing w:after="0" w:line="240" w:lineRule="auto"/>
        <w:ind w:left="1418" w:right="0" w:hanging="851"/>
        <w:rPr>
          <w:rFonts w:ascii="Times New Roman" w:hAnsi="Times New Roman" w:cs="Times New Roman"/>
          <w:sz w:val="18"/>
          <w:szCs w:val="18"/>
        </w:rPr>
      </w:pPr>
      <w:r w:rsidRPr="00E54F16">
        <w:rPr>
          <w:rFonts w:ascii="Times New Roman" w:hAnsi="Times New Roman" w:cs="Times New Roman"/>
          <w:b/>
          <w:sz w:val="18"/>
          <w:szCs w:val="18"/>
        </w:rPr>
        <w:t>II.Z.10.3</w:t>
      </w:r>
      <w:r w:rsidR="00C91CB0">
        <w:rPr>
          <w:rFonts w:ascii="Times New Roman" w:hAnsi="Times New Roman" w:cs="Times New Roman"/>
          <w:b/>
          <w:sz w:val="18"/>
          <w:szCs w:val="18"/>
        </w:rPr>
        <w:t>.</w:t>
      </w:r>
      <w:r w:rsidRPr="00E54F16">
        <w:rPr>
          <w:rFonts w:ascii="Times New Roman" w:hAnsi="Times New Roman" w:cs="Times New Roman"/>
          <w:b/>
          <w:sz w:val="18"/>
          <w:szCs w:val="18"/>
        </w:rPr>
        <w:t xml:space="preserve"> </w:t>
      </w:r>
      <w:r w:rsidR="00D669B3">
        <w:rPr>
          <w:rFonts w:ascii="Times New Roman" w:hAnsi="Times New Roman" w:cs="Times New Roman"/>
          <w:b/>
          <w:sz w:val="18"/>
          <w:szCs w:val="18"/>
        </w:rPr>
        <w:t xml:space="preserve">  </w:t>
      </w:r>
      <w:r w:rsidRPr="00E54F16">
        <w:rPr>
          <w:rFonts w:ascii="Times New Roman" w:hAnsi="Times New Roman" w:cs="Times New Roman"/>
          <w:sz w:val="18"/>
          <w:szCs w:val="18"/>
        </w:rPr>
        <w:t>ocenę sposobu wypełniania przez spółkę obowiązków informacyjnych dotyczących stosowania zasad</w:t>
      </w:r>
      <w:r w:rsidR="00C91CB0">
        <w:rPr>
          <w:rFonts w:ascii="Times New Roman" w:hAnsi="Times New Roman" w:cs="Times New Roman"/>
          <w:sz w:val="18"/>
          <w:szCs w:val="18"/>
        </w:rPr>
        <w:t xml:space="preserve"> </w:t>
      </w:r>
      <w:r w:rsidRPr="00E54F16">
        <w:rPr>
          <w:rFonts w:ascii="Times New Roman" w:hAnsi="Times New Roman" w:cs="Times New Roman"/>
          <w:sz w:val="18"/>
          <w:szCs w:val="18"/>
        </w:rPr>
        <w:t>ładu korporacyjnego, określonych w Regulaminie Giełdy oraz przepisach dotyczących informacji bieżących i okresowych przekazywanych przez emitentów papierów wartościowych;</w:t>
      </w:r>
    </w:p>
    <w:p w:rsidR="00231152" w:rsidRPr="00E54F16" w:rsidRDefault="002B2AC4" w:rsidP="00D669B3">
      <w:pPr>
        <w:spacing w:after="0" w:line="240" w:lineRule="auto"/>
        <w:ind w:left="1418"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jest stosowana.</w:t>
      </w:r>
    </w:p>
    <w:p w:rsidR="0022714E" w:rsidRDefault="0022714E" w:rsidP="000F5302">
      <w:pPr>
        <w:spacing w:after="0" w:line="240" w:lineRule="auto"/>
        <w:ind w:left="1418" w:right="0" w:hanging="851"/>
        <w:rPr>
          <w:rFonts w:ascii="Times New Roman" w:hAnsi="Times New Roman" w:cs="Times New Roman"/>
          <w:b/>
          <w:sz w:val="18"/>
          <w:szCs w:val="18"/>
        </w:rPr>
      </w:pPr>
    </w:p>
    <w:p w:rsidR="00D669B3" w:rsidRDefault="002B2AC4" w:rsidP="000F5302">
      <w:pPr>
        <w:spacing w:after="0" w:line="240" w:lineRule="auto"/>
        <w:ind w:left="1418" w:right="0" w:hanging="851"/>
        <w:rPr>
          <w:rFonts w:ascii="Times New Roman" w:hAnsi="Times New Roman" w:cs="Times New Roman"/>
          <w:sz w:val="18"/>
          <w:szCs w:val="18"/>
        </w:rPr>
      </w:pPr>
      <w:r w:rsidRPr="00E54F16">
        <w:rPr>
          <w:rFonts w:ascii="Times New Roman" w:hAnsi="Times New Roman" w:cs="Times New Roman"/>
          <w:b/>
          <w:sz w:val="18"/>
          <w:szCs w:val="18"/>
        </w:rPr>
        <w:t>II.Z.10.4</w:t>
      </w:r>
      <w:r w:rsidR="00C91CB0">
        <w:rPr>
          <w:rFonts w:ascii="Times New Roman" w:hAnsi="Times New Roman" w:cs="Times New Roman"/>
          <w:b/>
          <w:sz w:val="18"/>
          <w:szCs w:val="18"/>
        </w:rPr>
        <w:t>.</w:t>
      </w:r>
      <w:r w:rsidRPr="00E54F16">
        <w:rPr>
          <w:rFonts w:ascii="Times New Roman" w:hAnsi="Times New Roman" w:cs="Times New Roman"/>
          <w:b/>
          <w:sz w:val="18"/>
          <w:szCs w:val="18"/>
        </w:rPr>
        <w:t xml:space="preserve"> </w:t>
      </w:r>
      <w:r w:rsidR="00D669B3">
        <w:rPr>
          <w:rFonts w:ascii="Times New Roman" w:hAnsi="Times New Roman" w:cs="Times New Roman"/>
          <w:b/>
          <w:sz w:val="18"/>
          <w:szCs w:val="18"/>
        </w:rPr>
        <w:t xml:space="preserve"> </w:t>
      </w:r>
      <w:r w:rsidRPr="00E54F16">
        <w:rPr>
          <w:rFonts w:ascii="Times New Roman" w:hAnsi="Times New Roman" w:cs="Times New Roman"/>
          <w:sz w:val="18"/>
          <w:szCs w:val="18"/>
        </w:rPr>
        <w:t xml:space="preserve">ocenę racjonalności prowadzonej przez spółkę polityki, o której </w:t>
      </w:r>
      <w:r w:rsidR="00C91CB0">
        <w:rPr>
          <w:rFonts w:ascii="Times New Roman" w:hAnsi="Times New Roman" w:cs="Times New Roman"/>
          <w:sz w:val="18"/>
          <w:szCs w:val="18"/>
        </w:rPr>
        <w:t xml:space="preserve">mowa w rekomendacji I.R.2, albo </w:t>
      </w:r>
      <w:r w:rsidRPr="00E54F16">
        <w:rPr>
          <w:rFonts w:ascii="Times New Roman" w:hAnsi="Times New Roman" w:cs="Times New Roman"/>
          <w:sz w:val="18"/>
          <w:szCs w:val="18"/>
        </w:rPr>
        <w:t xml:space="preserve">informację o braku takiej polityki. </w:t>
      </w:r>
    </w:p>
    <w:p w:rsidR="00231152" w:rsidRPr="00E54F16" w:rsidRDefault="00D669B3" w:rsidP="000F5302">
      <w:pPr>
        <w:spacing w:after="0" w:line="240" w:lineRule="auto"/>
        <w:ind w:left="1418" w:right="0" w:hanging="851"/>
        <w:rPr>
          <w:rFonts w:ascii="Times New Roman" w:hAnsi="Times New Roman" w:cs="Times New Roman"/>
          <w:sz w:val="18"/>
          <w:szCs w:val="18"/>
        </w:rPr>
      </w:pPr>
      <w:r>
        <w:rPr>
          <w:rFonts w:ascii="Times New Roman" w:hAnsi="Times New Roman" w:cs="Times New Roman"/>
          <w:b/>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0F5302">
      <w:pPr>
        <w:spacing w:after="0" w:line="240" w:lineRule="auto"/>
        <w:ind w:left="1418" w:right="0" w:hanging="851"/>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II.Z.11. </w:t>
      </w:r>
      <w:r w:rsidR="00D669B3">
        <w:rPr>
          <w:rFonts w:ascii="Times New Roman" w:hAnsi="Times New Roman" w:cs="Times New Roman"/>
          <w:b/>
          <w:sz w:val="18"/>
          <w:szCs w:val="18"/>
        </w:rPr>
        <w:t xml:space="preserve">  </w:t>
      </w:r>
      <w:r w:rsidRPr="00E54F16">
        <w:rPr>
          <w:rFonts w:ascii="Times New Roman" w:hAnsi="Times New Roman" w:cs="Times New Roman"/>
          <w:sz w:val="18"/>
          <w:szCs w:val="18"/>
        </w:rPr>
        <w:t>Rada nadzorcza rozpatruje i opiniuje sprawy mające być przedmiotem uchwał walnego zgromadzenia.</w:t>
      </w:r>
    </w:p>
    <w:p w:rsidR="00231152" w:rsidRDefault="00D669B3" w:rsidP="00D669B3">
      <w:pPr>
        <w:spacing w:after="0" w:line="240" w:lineRule="auto"/>
        <w:ind w:left="709" w:right="0" w:hanging="709"/>
        <w:jc w:val="left"/>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8012A8" w:rsidRDefault="008012A8" w:rsidP="008012A8">
      <w:pPr>
        <w:spacing w:after="0" w:line="240" w:lineRule="auto"/>
        <w:ind w:left="709" w:right="0" w:hanging="709"/>
        <w:jc w:val="left"/>
        <w:rPr>
          <w:rFonts w:ascii="Times New Roman" w:hAnsi="Times New Roman" w:cs="Times New Roman"/>
          <w:i/>
          <w:sz w:val="18"/>
          <w:szCs w:val="18"/>
          <w:u w:val="single" w:color="000000"/>
        </w:rPr>
      </w:pPr>
    </w:p>
    <w:p w:rsidR="008012A8" w:rsidRPr="00E54F16" w:rsidRDefault="008012A8" w:rsidP="008012A8">
      <w:pPr>
        <w:spacing w:after="0" w:line="240" w:lineRule="auto"/>
        <w:ind w:left="709" w:right="0" w:hanging="709"/>
        <w:jc w:val="left"/>
        <w:rPr>
          <w:rFonts w:ascii="Times New Roman" w:hAnsi="Times New Roman" w:cs="Times New Roman"/>
          <w:sz w:val="18"/>
          <w:szCs w:val="18"/>
        </w:rPr>
      </w:pPr>
    </w:p>
    <w:p w:rsidR="00231152" w:rsidRPr="00D92382" w:rsidRDefault="002B2AC4" w:rsidP="008012A8">
      <w:pPr>
        <w:pStyle w:val="Nagwek1"/>
        <w:spacing w:after="0" w:line="240" w:lineRule="auto"/>
        <w:ind w:left="709" w:hanging="709"/>
        <w:rPr>
          <w:rFonts w:ascii="Times New Roman" w:hAnsi="Times New Roman" w:cs="Times New Roman"/>
          <w:sz w:val="24"/>
          <w:szCs w:val="18"/>
        </w:rPr>
      </w:pPr>
      <w:r w:rsidRPr="00D92382">
        <w:rPr>
          <w:rFonts w:ascii="Times New Roman" w:hAnsi="Times New Roman" w:cs="Times New Roman"/>
          <w:sz w:val="24"/>
          <w:szCs w:val="18"/>
        </w:rPr>
        <w:t>Systemy i funkcje wewnętrzne</w:t>
      </w:r>
    </w:p>
    <w:p w:rsidR="008012A8" w:rsidRDefault="008012A8" w:rsidP="008012A8">
      <w:pPr>
        <w:spacing w:after="0" w:line="240" w:lineRule="auto"/>
      </w:pPr>
    </w:p>
    <w:p w:rsidR="008012A8" w:rsidRPr="008012A8" w:rsidRDefault="008012A8" w:rsidP="007558E2">
      <w:pPr>
        <w:spacing w:after="0" w:line="240" w:lineRule="auto"/>
        <w:ind w:firstLine="92"/>
      </w:pPr>
    </w:p>
    <w:p w:rsidR="00231152" w:rsidRDefault="002B2AC4" w:rsidP="007558E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Spółka giełdowa utrzymuje skuteczne systemy: kontroli wewnętrznej, zarządzania ryzykiem oraz nadzoru zgodności działalności z prawem (</w:t>
      </w:r>
      <w:proofErr w:type="spellStart"/>
      <w:r w:rsidRPr="00E54F16">
        <w:rPr>
          <w:rFonts w:ascii="Times New Roman" w:hAnsi="Times New Roman" w:cs="Times New Roman"/>
          <w:b/>
          <w:sz w:val="18"/>
          <w:szCs w:val="18"/>
        </w:rPr>
        <w:t>compliance</w:t>
      </w:r>
      <w:proofErr w:type="spellEnd"/>
      <w:r w:rsidRPr="00E54F16">
        <w:rPr>
          <w:rFonts w:ascii="Times New Roman" w:hAnsi="Times New Roman" w:cs="Times New Roman"/>
          <w:b/>
          <w:sz w:val="18"/>
          <w:szCs w:val="18"/>
        </w:rPr>
        <w:t>), a także skuteczną funkcję audytu wewnętrznego, odpowiednie do wielkości spółki i rodzaju oraz skali prowadzonej działalności.</w:t>
      </w:r>
    </w:p>
    <w:p w:rsidR="007558E2" w:rsidRDefault="007558E2" w:rsidP="008012A8">
      <w:pPr>
        <w:spacing w:after="0" w:line="240" w:lineRule="auto"/>
        <w:ind w:left="709" w:right="0" w:hanging="709"/>
        <w:jc w:val="left"/>
        <w:rPr>
          <w:rFonts w:ascii="Times New Roman" w:hAnsi="Times New Roman" w:cs="Times New Roman"/>
          <w:b/>
          <w:sz w:val="18"/>
          <w:szCs w:val="18"/>
        </w:rPr>
      </w:pPr>
    </w:p>
    <w:p w:rsidR="007558E2" w:rsidRPr="00ED4B9F" w:rsidRDefault="007558E2" w:rsidP="008012A8">
      <w:pPr>
        <w:spacing w:after="0" w:line="240" w:lineRule="auto"/>
        <w:ind w:left="709" w:right="0" w:hanging="709"/>
        <w:jc w:val="left"/>
        <w:rPr>
          <w:rFonts w:ascii="Times New Roman" w:hAnsi="Times New Roman" w:cs="Times New Roman"/>
          <w:sz w:val="20"/>
          <w:szCs w:val="20"/>
        </w:rPr>
      </w:pPr>
    </w:p>
    <w:p w:rsidR="00231152" w:rsidRPr="00ED4B9F" w:rsidRDefault="002B2AC4" w:rsidP="008012A8">
      <w:pPr>
        <w:spacing w:after="0" w:line="240" w:lineRule="auto"/>
        <w:ind w:left="709" w:right="0" w:hanging="709"/>
        <w:jc w:val="left"/>
        <w:rPr>
          <w:rFonts w:ascii="Times New Roman" w:hAnsi="Times New Roman" w:cs="Times New Roman"/>
          <w:b/>
          <w:sz w:val="20"/>
          <w:szCs w:val="20"/>
        </w:rPr>
      </w:pPr>
      <w:r w:rsidRPr="00ED4B9F">
        <w:rPr>
          <w:rFonts w:ascii="Times New Roman" w:hAnsi="Times New Roman" w:cs="Times New Roman"/>
          <w:b/>
          <w:sz w:val="20"/>
          <w:szCs w:val="20"/>
        </w:rPr>
        <w:t>Rekomendacje</w:t>
      </w:r>
    </w:p>
    <w:p w:rsidR="007558E2" w:rsidRPr="00E54F16" w:rsidRDefault="007558E2" w:rsidP="008012A8">
      <w:pPr>
        <w:spacing w:after="0" w:line="240" w:lineRule="auto"/>
        <w:ind w:left="709" w:right="0" w:hanging="709"/>
        <w:jc w:val="left"/>
        <w:rPr>
          <w:rFonts w:ascii="Times New Roman" w:hAnsi="Times New Roman" w:cs="Times New Roman"/>
          <w:sz w:val="18"/>
          <w:szCs w:val="18"/>
        </w:rPr>
      </w:pPr>
    </w:p>
    <w:p w:rsidR="00940F75" w:rsidRDefault="002B2AC4" w:rsidP="00940F75">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III.R.1. </w:t>
      </w:r>
      <w:r w:rsidR="00940F75">
        <w:rPr>
          <w:rFonts w:ascii="Times New Roman" w:hAnsi="Times New Roman" w:cs="Times New Roman"/>
          <w:b/>
          <w:sz w:val="18"/>
          <w:szCs w:val="18"/>
        </w:rPr>
        <w:t xml:space="preserve">  </w:t>
      </w:r>
      <w:r w:rsidRPr="00E54F16">
        <w:rPr>
          <w:rFonts w:ascii="Times New Roman" w:hAnsi="Times New Roman" w:cs="Times New Roman"/>
          <w:sz w:val="18"/>
          <w:szCs w:val="18"/>
        </w:rPr>
        <w:t xml:space="preserve">Spółka wyodrębnia w swojej strukturze jednostki odpowiedzialne za realizację zadań w poszczególnych systemach lub funkcjach, chyba że wyodrębnienie jednostek organizacyjnych nie jest uzasadnione z uwagi na rozmiar lub rodzaj działalności prowadzonej przez spółkę. </w:t>
      </w:r>
    </w:p>
    <w:p w:rsidR="00231152" w:rsidRPr="00E54F16" w:rsidRDefault="00940F75" w:rsidP="00940F75">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jc w:val="left"/>
        <w:rPr>
          <w:rFonts w:ascii="Times New Roman" w:hAnsi="Times New Roman" w:cs="Times New Roman"/>
          <w:b/>
          <w:sz w:val="18"/>
          <w:szCs w:val="18"/>
        </w:rPr>
      </w:pPr>
    </w:p>
    <w:p w:rsidR="00231152" w:rsidRPr="00ED4B9F" w:rsidRDefault="002B2AC4" w:rsidP="008012A8">
      <w:pPr>
        <w:spacing w:after="0" w:line="240" w:lineRule="auto"/>
        <w:ind w:left="709" w:right="0" w:hanging="709"/>
        <w:jc w:val="left"/>
        <w:rPr>
          <w:rFonts w:ascii="Times New Roman" w:hAnsi="Times New Roman" w:cs="Times New Roman"/>
          <w:b/>
          <w:sz w:val="20"/>
          <w:szCs w:val="20"/>
        </w:rPr>
      </w:pPr>
      <w:r w:rsidRPr="00ED4B9F">
        <w:rPr>
          <w:rFonts w:ascii="Times New Roman" w:hAnsi="Times New Roman" w:cs="Times New Roman"/>
          <w:b/>
          <w:sz w:val="20"/>
          <w:szCs w:val="20"/>
        </w:rPr>
        <w:t>Zasady szczegółowe</w:t>
      </w:r>
    </w:p>
    <w:p w:rsidR="0022714E" w:rsidRPr="00E54F16" w:rsidRDefault="0022714E" w:rsidP="008012A8">
      <w:pPr>
        <w:spacing w:after="0" w:line="240" w:lineRule="auto"/>
        <w:ind w:left="709" w:right="0" w:hanging="709"/>
        <w:jc w:val="left"/>
        <w:rPr>
          <w:rFonts w:ascii="Times New Roman" w:hAnsi="Times New Roman" w:cs="Times New Roman"/>
          <w:sz w:val="18"/>
          <w:szCs w:val="18"/>
        </w:rPr>
      </w:pPr>
    </w:p>
    <w:p w:rsidR="00940F75" w:rsidRDefault="002B2AC4" w:rsidP="00940F75">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III.Z.1. </w:t>
      </w:r>
      <w:r w:rsidR="00940F75">
        <w:rPr>
          <w:rFonts w:ascii="Times New Roman" w:hAnsi="Times New Roman" w:cs="Times New Roman"/>
          <w:b/>
          <w:sz w:val="18"/>
          <w:szCs w:val="18"/>
        </w:rPr>
        <w:t xml:space="preserve">  </w:t>
      </w:r>
      <w:r w:rsidRPr="00E54F16">
        <w:rPr>
          <w:rFonts w:ascii="Times New Roman" w:hAnsi="Times New Roman" w:cs="Times New Roman"/>
          <w:sz w:val="18"/>
          <w:szCs w:val="18"/>
        </w:rPr>
        <w:t xml:space="preserve">Za wdrożenie i utrzymanie skutecznych systemów kontroli wewnętrznej, zarządzania ryzykiem, </w:t>
      </w:r>
      <w:proofErr w:type="spellStart"/>
      <w:r w:rsidRPr="00E54F16">
        <w:rPr>
          <w:rFonts w:ascii="Times New Roman" w:hAnsi="Times New Roman" w:cs="Times New Roman"/>
          <w:sz w:val="18"/>
          <w:szCs w:val="18"/>
        </w:rPr>
        <w:t>compliance</w:t>
      </w:r>
      <w:proofErr w:type="spellEnd"/>
      <w:r w:rsidRPr="00E54F16">
        <w:rPr>
          <w:rFonts w:ascii="Times New Roman" w:hAnsi="Times New Roman" w:cs="Times New Roman"/>
          <w:sz w:val="18"/>
          <w:szCs w:val="18"/>
        </w:rPr>
        <w:t xml:space="preserve"> oraz funkcji audytu wewnętrznego odpowiada zarząd spółki. </w:t>
      </w:r>
    </w:p>
    <w:p w:rsidR="00231152" w:rsidRPr="00E54F16" w:rsidRDefault="00940F75" w:rsidP="00940F75">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940F75" w:rsidRDefault="002B2AC4" w:rsidP="00940F75">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III.Z.2. </w:t>
      </w:r>
      <w:r w:rsidR="00940F75">
        <w:rPr>
          <w:rFonts w:ascii="Times New Roman" w:hAnsi="Times New Roman" w:cs="Times New Roman"/>
          <w:b/>
          <w:sz w:val="18"/>
          <w:szCs w:val="18"/>
        </w:rPr>
        <w:t xml:space="preserve">  </w:t>
      </w:r>
      <w:r w:rsidRPr="00E54F16">
        <w:rPr>
          <w:rFonts w:ascii="Times New Roman" w:hAnsi="Times New Roman" w:cs="Times New Roman"/>
          <w:sz w:val="18"/>
          <w:szCs w:val="18"/>
        </w:rPr>
        <w:t xml:space="preserve">Z zastrzeżeniem zasady III.Z.3, osoby odpowiedzialne za zarządzanie ryzykiem, audyt wewnętrzny i </w:t>
      </w:r>
      <w:proofErr w:type="spellStart"/>
      <w:r w:rsidRPr="00E54F16">
        <w:rPr>
          <w:rFonts w:ascii="Times New Roman" w:hAnsi="Times New Roman" w:cs="Times New Roman"/>
          <w:sz w:val="18"/>
          <w:szCs w:val="18"/>
        </w:rPr>
        <w:t>compliance</w:t>
      </w:r>
      <w:proofErr w:type="spellEnd"/>
      <w:r w:rsidRPr="00E54F16">
        <w:rPr>
          <w:rFonts w:ascii="Times New Roman" w:hAnsi="Times New Roman" w:cs="Times New Roman"/>
          <w:sz w:val="18"/>
          <w:szCs w:val="18"/>
        </w:rPr>
        <w:t xml:space="preserve"> podlegają bezpośrednio prezesowi lub innemu członkowi zarządu, a także mają zapewnioną możliwość raportowania bezpośrednio do rady nadzorczej lub komitetu audytu. </w:t>
      </w:r>
    </w:p>
    <w:p w:rsidR="00231152" w:rsidRPr="00E54F16" w:rsidRDefault="00940F75" w:rsidP="00940F75">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22714E" w:rsidRDefault="0022714E" w:rsidP="008012A8">
      <w:pPr>
        <w:spacing w:after="0" w:line="240" w:lineRule="auto"/>
        <w:ind w:left="709" w:right="0" w:hanging="709"/>
        <w:rPr>
          <w:rFonts w:ascii="Times New Roman" w:hAnsi="Times New Roman" w:cs="Times New Roman"/>
          <w:b/>
          <w:sz w:val="18"/>
          <w:szCs w:val="18"/>
        </w:rPr>
      </w:pPr>
    </w:p>
    <w:p w:rsidR="00D92382" w:rsidRDefault="002B2AC4" w:rsidP="00D9238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III.Z.3. </w:t>
      </w:r>
      <w:r w:rsidR="00D92382">
        <w:rPr>
          <w:rFonts w:ascii="Times New Roman" w:hAnsi="Times New Roman" w:cs="Times New Roman"/>
          <w:b/>
          <w:sz w:val="18"/>
          <w:szCs w:val="18"/>
        </w:rPr>
        <w:t xml:space="preserve">  </w:t>
      </w:r>
      <w:r w:rsidRPr="00E54F16">
        <w:rPr>
          <w:rFonts w:ascii="Times New Roman" w:hAnsi="Times New Roman" w:cs="Times New Roman"/>
          <w:sz w:val="18"/>
          <w:szCs w:val="18"/>
        </w:rPr>
        <w:t>W odniesieniu do osoby kierującej funkcją audytu wewnętrznego i innych osób odpowiedzialnych za realizację jej zadań zastosowanie mają zasady niezależności określone w powszechnie uznanych, międzynarodowych standardach praktyki zawodowej audytu wewnętrznego.</w:t>
      </w:r>
      <w:r w:rsidR="00D92382" w:rsidRPr="00D92382">
        <w:rPr>
          <w:rFonts w:ascii="Times New Roman" w:hAnsi="Times New Roman" w:cs="Times New Roman"/>
          <w:sz w:val="18"/>
          <w:szCs w:val="18"/>
        </w:rPr>
        <w:t xml:space="preserve"> </w:t>
      </w:r>
    </w:p>
    <w:p w:rsidR="00231152" w:rsidRPr="00E54F16" w:rsidRDefault="00D92382" w:rsidP="00D9238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nie jest stosowana.</w:t>
      </w:r>
    </w:p>
    <w:p w:rsidR="00231152" w:rsidRPr="00E54F16" w:rsidRDefault="002B2AC4" w:rsidP="00D92382">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b/>
          <w:i/>
          <w:sz w:val="18"/>
          <w:szCs w:val="18"/>
        </w:rPr>
        <w:t>Komentarz spółki:</w:t>
      </w:r>
      <w:r w:rsidR="00BD7926">
        <w:rPr>
          <w:rFonts w:ascii="Times New Roman" w:hAnsi="Times New Roman" w:cs="Times New Roman"/>
          <w:b/>
          <w:i/>
          <w:sz w:val="18"/>
          <w:szCs w:val="18"/>
        </w:rPr>
        <w:t xml:space="preserve"> </w:t>
      </w:r>
      <w:r w:rsidRPr="00E54F16">
        <w:rPr>
          <w:rFonts w:ascii="Times New Roman" w:hAnsi="Times New Roman" w:cs="Times New Roman"/>
          <w:i/>
          <w:sz w:val="18"/>
          <w:szCs w:val="18"/>
        </w:rPr>
        <w:t>Spółka nie stosuje wskazanej zasady. Z uwagi na rozmiar i rodzaj działalności prowadzonej przez Spółkę funkcja audytu nie została wyodrębniona jako oddzielna komórka organizacyjna. Zadania w ramach audytu wewnętrznego są realizowane przez szereg wyznaczonych do tego osób o odpowiednich kwalifikacjach w wybranych jednostkach organizacyjnych Spółki oraz w strukturach spółek zależnych tworzących grupę kapitałową emitenta. W</w:t>
      </w:r>
      <w:r w:rsidR="0050693E">
        <w:rPr>
          <w:rFonts w:ascii="Times New Roman" w:hAnsi="Times New Roman" w:cs="Times New Roman"/>
          <w:i/>
          <w:sz w:val="18"/>
          <w:szCs w:val="18"/>
        </w:rPr>
        <w:t> </w:t>
      </w:r>
      <w:r w:rsidRPr="00E54F16">
        <w:rPr>
          <w:rFonts w:ascii="Times New Roman" w:hAnsi="Times New Roman" w:cs="Times New Roman"/>
          <w:i/>
          <w:sz w:val="18"/>
          <w:szCs w:val="18"/>
        </w:rPr>
        <w:t>ocenie Zarządu brak jest przesłanek przemawiających za potrzebą stosowania ww. standardów w odniesieniu do wspomnianych wyżej osób realizujących zadania w ramach audytu wewnętrznego w Spółce.</w:t>
      </w:r>
    </w:p>
    <w:p w:rsidR="00D92382" w:rsidRDefault="00D92382" w:rsidP="008012A8">
      <w:pPr>
        <w:spacing w:after="0" w:line="240" w:lineRule="auto"/>
        <w:ind w:left="709" w:right="0" w:hanging="709"/>
        <w:rPr>
          <w:rFonts w:ascii="Times New Roman" w:hAnsi="Times New Roman" w:cs="Times New Roman"/>
          <w:b/>
          <w:sz w:val="18"/>
          <w:szCs w:val="18"/>
        </w:rPr>
      </w:pPr>
    </w:p>
    <w:p w:rsidR="00D92382" w:rsidRDefault="002B2AC4" w:rsidP="00D9238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III.Z.4. </w:t>
      </w:r>
      <w:r w:rsidR="00D9238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Co najmniej raz w roku osoba odpowiedzialna za audyt wewnętrzny (w przypadku wyodrębnienia w spółce takiej funkcji) i zarząd przedstawiają radzie nadzorczej własną ocenę skuteczności funkcjonowania systemów i funkcji, o których mowa w zasadzie III.Z.1, wraz z odpowiednim sprawozdaniem. </w:t>
      </w:r>
    </w:p>
    <w:p w:rsidR="00231152" w:rsidRPr="00E54F16" w:rsidRDefault="00D92382" w:rsidP="00D9238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D92382" w:rsidRDefault="00D92382" w:rsidP="008012A8">
      <w:pPr>
        <w:spacing w:after="0" w:line="240" w:lineRule="auto"/>
        <w:ind w:left="709" w:right="0" w:hanging="709"/>
        <w:rPr>
          <w:rFonts w:ascii="Times New Roman" w:hAnsi="Times New Roman" w:cs="Times New Roman"/>
          <w:b/>
          <w:sz w:val="18"/>
          <w:szCs w:val="18"/>
        </w:rPr>
      </w:pPr>
    </w:p>
    <w:p w:rsidR="00D92382" w:rsidRDefault="002B2AC4" w:rsidP="00D9238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lastRenderedPageBreak/>
        <w:t xml:space="preserve">III.Z.5. </w:t>
      </w:r>
      <w:r w:rsidR="00D92382">
        <w:rPr>
          <w:rFonts w:ascii="Times New Roman" w:hAnsi="Times New Roman" w:cs="Times New Roman"/>
          <w:b/>
          <w:sz w:val="18"/>
          <w:szCs w:val="18"/>
        </w:rPr>
        <w:t xml:space="preserve">  </w:t>
      </w:r>
      <w:r w:rsidRPr="00E54F16">
        <w:rPr>
          <w:rFonts w:ascii="Times New Roman" w:hAnsi="Times New Roman" w:cs="Times New Roman"/>
          <w:sz w:val="18"/>
          <w:szCs w:val="18"/>
        </w:rPr>
        <w:t>Rada nadzorcza monitoruje skuteczność systemów i funkcji, o których mowa w zasadzie III.Z.1, w oparciu między innymi o sprawozdania okresowo dostarczane jej bezpośrednio przez osoby odpowiedzialne za te funkcje oraz zarząd spółki, jak również dokonuje rocznej oceny skuteczności funkcjonowania tych systemów i funkcji, zgodnie z zasadą II.Z.10.1. W przypadku gdy w spółce działa komitet audytu, monitoruje on skuteczność systemów i funkcji, o których mowa w zasadzie III.Z.1, jednakże nie zwalnia to rady nadzorczej z dokonania rocznej oceny skuteczności funkcjonowania tych systemów i funkcji.</w:t>
      </w:r>
      <w:r w:rsidR="00D92382" w:rsidRPr="00D92382">
        <w:rPr>
          <w:rFonts w:ascii="Times New Roman" w:hAnsi="Times New Roman" w:cs="Times New Roman"/>
          <w:sz w:val="18"/>
          <w:szCs w:val="18"/>
        </w:rPr>
        <w:t xml:space="preserve"> </w:t>
      </w:r>
    </w:p>
    <w:p w:rsidR="00231152" w:rsidRPr="00E54F16" w:rsidRDefault="00D92382" w:rsidP="00D9238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D92382" w:rsidRDefault="00D92382" w:rsidP="008012A8">
      <w:pPr>
        <w:spacing w:after="0" w:line="240" w:lineRule="auto"/>
        <w:ind w:left="709" w:right="0" w:hanging="709"/>
        <w:rPr>
          <w:rFonts w:ascii="Times New Roman" w:hAnsi="Times New Roman" w:cs="Times New Roman"/>
          <w:b/>
          <w:sz w:val="18"/>
          <w:szCs w:val="18"/>
        </w:rPr>
      </w:pPr>
    </w:p>
    <w:p w:rsidR="00D92382" w:rsidRDefault="002B2AC4" w:rsidP="00D9238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III.Z.6. </w:t>
      </w:r>
      <w:r w:rsidR="00D92382">
        <w:rPr>
          <w:rFonts w:ascii="Times New Roman" w:hAnsi="Times New Roman" w:cs="Times New Roman"/>
          <w:b/>
          <w:sz w:val="18"/>
          <w:szCs w:val="18"/>
        </w:rPr>
        <w:t xml:space="preserve">   </w:t>
      </w:r>
      <w:r w:rsidRPr="00E54F16">
        <w:rPr>
          <w:rFonts w:ascii="Times New Roman" w:hAnsi="Times New Roman" w:cs="Times New Roman"/>
          <w:sz w:val="18"/>
          <w:szCs w:val="18"/>
        </w:rPr>
        <w:t>W przypadku gdy w spółce nie wyodrębniono organizacyjnie funkcji audytu wewnętrznego, komitet audytu (lub rada nadzorcza, jeżeli pełni funkcję komitetu audytu) co roku dokonuje oceny, czy istnieje potrzeba dokonania takiego wydzielenia.</w:t>
      </w:r>
      <w:r w:rsidR="00D92382" w:rsidRPr="00D92382">
        <w:rPr>
          <w:rFonts w:ascii="Times New Roman" w:hAnsi="Times New Roman" w:cs="Times New Roman"/>
          <w:sz w:val="18"/>
          <w:szCs w:val="18"/>
        </w:rPr>
        <w:t xml:space="preserve"> </w:t>
      </w:r>
    </w:p>
    <w:p w:rsidR="00231152" w:rsidRPr="00D92382" w:rsidRDefault="00D92382" w:rsidP="00D9238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D92382" w:rsidRDefault="00D92382" w:rsidP="008012A8">
      <w:pPr>
        <w:spacing w:after="0" w:line="240" w:lineRule="auto"/>
        <w:ind w:left="709" w:right="0" w:hanging="709"/>
        <w:jc w:val="left"/>
        <w:rPr>
          <w:rFonts w:ascii="Times New Roman" w:hAnsi="Times New Roman" w:cs="Times New Roman"/>
          <w:i/>
          <w:sz w:val="18"/>
          <w:szCs w:val="18"/>
          <w:u w:val="single" w:color="000000"/>
        </w:rPr>
      </w:pPr>
    </w:p>
    <w:p w:rsidR="00D92382" w:rsidRPr="00E54F16" w:rsidRDefault="00D92382" w:rsidP="008012A8">
      <w:pPr>
        <w:spacing w:after="0" w:line="240" w:lineRule="auto"/>
        <w:ind w:left="709" w:right="0" w:hanging="709"/>
        <w:jc w:val="left"/>
        <w:rPr>
          <w:rFonts w:ascii="Times New Roman" w:hAnsi="Times New Roman" w:cs="Times New Roman"/>
          <w:sz w:val="18"/>
          <w:szCs w:val="18"/>
        </w:rPr>
      </w:pPr>
    </w:p>
    <w:p w:rsidR="00231152" w:rsidRPr="00D92382" w:rsidRDefault="002B2AC4" w:rsidP="008012A8">
      <w:pPr>
        <w:pStyle w:val="Nagwek1"/>
        <w:spacing w:after="0" w:line="240" w:lineRule="auto"/>
        <w:ind w:left="709" w:hanging="709"/>
        <w:rPr>
          <w:rFonts w:ascii="Times New Roman" w:hAnsi="Times New Roman" w:cs="Times New Roman"/>
          <w:sz w:val="24"/>
          <w:szCs w:val="18"/>
        </w:rPr>
      </w:pPr>
      <w:r w:rsidRPr="00D92382">
        <w:rPr>
          <w:rFonts w:ascii="Times New Roman" w:hAnsi="Times New Roman" w:cs="Times New Roman"/>
          <w:sz w:val="24"/>
          <w:szCs w:val="18"/>
        </w:rPr>
        <w:t>Walne zgromadzenie i relacje z akcjonariuszami</w:t>
      </w:r>
    </w:p>
    <w:p w:rsidR="00D92382" w:rsidRDefault="00D92382" w:rsidP="00D92382"/>
    <w:p w:rsidR="00231152" w:rsidRDefault="002B2AC4" w:rsidP="0013201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Zarząd spółki giełdowej i jej rada nadzorcza i powinny zachęcać akcjonariuszy do zaangażowania się w sprawy spółki, wyrażającego się przede wszystkim aktywnym udziałem w walnym zgromadzeniu.</w:t>
      </w:r>
    </w:p>
    <w:p w:rsidR="00132012" w:rsidRPr="00E54F16" w:rsidRDefault="00132012" w:rsidP="00132012">
      <w:pPr>
        <w:spacing w:after="0" w:line="240" w:lineRule="auto"/>
        <w:ind w:left="0" w:right="0" w:firstLine="0"/>
        <w:rPr>
          <w:rFonts w:ascii="Times New Roman" w:hAnsi="Times New Roman" w:cs="Times New Roman"/>
          <w:sz w:val="18"/>
          <w:szCs w:val="18"/>
        </w:rPr>
      </w:pPr>
    </w:p>
    <w:p w:rsidR="00132012" w:rsidRDefault="002B2AC4" w:rsidP="0013201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Walne zgromadzenie powinno obradować z poszanowaniem praw akcjonariuszy i dążyć do tego, by podejmowane uchwały nie naruszały uzasadnionych interesów poszczególnych grup akcjonariuszy</w:t>
      </w:r>
    </w:p>
    <w:p w:rsidR="00231152" w:rsidRPr="00E54F16" w:rsidRDefault="002B2AC4" w:rsidP="00132012">
      <w:pPr>
        <w:spacing w:after="0" w:line="240" w:lineRule="auto"/>
        <w:ind w:left="0" w:right="0" w:firstLine="0"/>
        <w:rPr>
          <w:rFonts w:ascii="Times New Roman" w:hAnsi="Times New Roman" w:cs="Times New Roman"/>
          <w:sz w:val="18"/>
          <w:szCs w:val="18"/>
        </w:rPr>
      </w:pPr>
      <w:r w:rsidRPr="00E54F16">
        <w:rPr>
          <w:rFonts w:ascii="Times New Roman" w:hAnsi="Times New Roman" w:cs="Times New Roman"/>
          <w:b/>
          <w:sz w:val="18"/>
          <w:szCs w:val="18"/>
        </w:rPr>
        <w:t>.</w:t>
      </w:r>
    </w:p>
    <w:p w:rsidR="00231152" w:rsidRDefault="002B2AC4" w:rsidP="0013201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Akcjonariusze biorący udział w walnym zgromadzeniu wykonują swoje uprawnienia w sposób nienaruszający dobrych obyczajów.</w:t>
      </w:r>
    </w:p>
    <w:p w:rsidR="00D92382" w:rsidRDefault="00D92382" w:rsidP="008012A8">
      <w:pPr>
        <w:spacing w:after="0" w:line="240" w:lineRule="auto"/>
        <w:ind w:left="709" w:right="0" w:hanging="709"/>
        <w:jc w:val="left"/>
        <w:rPr>
          <w:rFonts w:ascii="Times New Roman" w:hAnsi="Times New Roman" w:cs="Times New Roman"/>
          <w:b/>
          <w:sz w:val="18"/>
          <w:szCs w:val="18"/>
        </w:rPr>
      </w:pPr>
    </w:p>
    <w:p w:rsidR="00D92382" w:rsidRPr="00E54F16" w:rsidRDefault="00D92382" w:rsidP="008012A8">
      <w:pPr>
        <w:spacing w:after="0" w:line="240" w:lineRule="auto"/>
        <w:ind w:left="709" w:right="0" w:hanging="709"/>
        <w:jc w:val="left"/>
        <w:rPr>
          <w:rFonts w:ascii="Times New Roman" w:hAnsi="Times New Roman" w:cs="Times New Roman"/>
          <w:sz w:val="18"/>
          <w:szCs w:val="18"/>
        </w:rPr>
      </w:pPr>
    </w:p>
    <w:p w:rsidR="00231152" w:rsidRPr="00ED4B9F" w:rsidRDefault="002B2AC4" w:rsidP="008012A8">
      <w:pPr>
        <w:spacing w:after="0" w:line="240" w:lineRule="auto"/>
        <w:ind w:left="709" w:right="0" w:hanging="709"/>
        <w:jc w:val="left"/>
        <w:rPr>
          <w:rFonts w:ascii="Times New Roman" w:hAnsi="Times New Roman" w:cs="Times New Roman"/>
          <w:b/>
          <w:sz w:val="20"/>
          <w:szCs w:val="20"/>
        </w:rPr>
      </w:pPr>
      <w:r w:rsidRPr="00ED4B9F">
        <w:rPr>
          <w:rFonts w:ascii="Times New Roman" w:hAnsi="Times New Roman" w:cs="Times New Roman"/>
          <w:b/>
          <w:sz w:val="20"/>
          <w:szCs w:val="20"/>
        </w:rPr>
        <w:t>Rekomendacje</w:t>
      </w:r>
    </w:p>
    <w:p w:rsidR="00D92382" w:rsidRPr="00E54F16" w:rsidRDefault="00D92382" w:rsidP="008012A8">
      <w:pPr>
        <w:spacing w:after="0" w:line="240" w:lineRule="auto"/>
        <w:ind w:left="709" w:right="0" w:hanging="709"/>
        <w:jc w:val="left"/>
        <w:rPr>
          <w:rFonts w:ascii="Times New Roman" w:hAnsi="Times New Roman" w:cs="Times New Roman"/>
          <w:sz w:val="18"/>
          <w:szCs w:val="18"/>
        </w:rPr>
      </w:pPr>
    </w:p>
    <w:p w:rsidR="00132012" w:rsidRDefault="002B2AC4" w:rsidP="0013201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IV.R.1. </w:t>
      </w:r>
      <w:r w:rsidR="0013201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Spółka powinna dążyć do odbycia zwyczajnego walnego zgromadzenia w możliwie najkrótszym terminie po publikacji raportu rocznego, wyznaczając ten termin z uwzględnieniem właściwych przepisów prawa. </w:t>
      </w:r>
    </w:p>
    <w:p w:rsidR="00231152" w:rsidRPr="00E54F16" w:rsidRDefault="00132012" w:rsidP="00132012">
      <w:pPr>
        <w:spacing w:after="0" w:line="240" w:lineRule="auto"/>
        <w:ind w:left="709" w:right="0" w:hanging="709"/>
        <w:jc w:val="left"/>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132012" w:rsidRDefault="0013201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IV.R.2. </w:t>
      </w:r>
      <w:r w:rsidR="00132012">
        <w:rPr>
          <w:rFonts w:ascii="Times New Roman" w:hAnsi="Times New Roman" w:cs="Times New Roman"/>
          <w:b/>
          <w:sz w:val="18"/>
          <w:szCs w:val="18"/>
        </w:rPr>
        <w:t xml:space="preserve">  </w:t>
      </w:r>
      <w:r w:rsidRPr="00E54F16">
        <w:rPr>
          <w:rFonts w:ascii="Times New Roman" w:hAnsi="Times New Roman" w:cs="Times New Roman"/>
          <w:sz w:val="18"/>
          <w:szCs w:val="18"/>
        </w:rPr>
        <w:t>Jeżeli jest to uzasadnione z uwagi na strukturę akcjonariatu lub zgłaszane spółce oczekiwania akcjonariuszy, o ile spółka jest w stanie zapewnić infrastrukturę techniczną niezbędna dla sprawnego przeprowadzenia walnego zgromadzenia przy wykorzystaniu środków komunikacji elektronicznej, powinna umożliwić akcjonariuszom udział w walnym zgromadzeniu przy wykorzystaniu takich środków, w szczególności poprzez:</w:t>
      </w:r>
    </w:p>
    <w:p w:rsidR="00231152" w:rsidRPr="00E54F16" w:rsidRDefault="002B2AC4" w:rsidP="00132012">
      <w:pPr>
        <w:numPr>
          <w:ilvl w:val="0"/>
          <w:numId w:val="2"/>
        </w:numPr>
        <w:tabs>
          <w:tab w:val="left" w:pos="1134"/>
        </w:tabs>
        <w:spacing w:after="0" w:line="240" w:lineRule="auto"/>
        <w:ind w:left="1276" w:right="0" w:hanging="283"/>
        <w:rPr>
          <w:rFonts w:ascii="Times New Roman" w:hAnsi="Times New Roman" w:cs="Times New Roman"/>
          <w:sz w:val="18"/>
          <w:szCs w:val="18"/>
        </w:rPr>
      </w:pPr>
      <w:r w:rsidRPr="00E54F16">
        <w:rPr>
          <w:rFonts w:ascii="Times New Roman" w:hAnsi="Times New Roman" w:cs="Times New Roman"/>
          <w:sz w:val="18"/>
          <w:szCs w:val="18"/>
        </w:rPr>
        <w:t>transmisję obrad walnego zgromadzenia w czasie rzeczywistym,</w:t>
      </w:r>
    </w:p>
    <w:p w:rsidR="00132012" w:rsidRDefault="002B2AC4" w:rsidP="00132012">
      <w:pPr>
        <w:numPr>
          <w:ilvl w:val="0"/>
          <w:numId w:val="2"/>
        </w:numPr>
        <w:tabs>
          <w:tab w:val="left" w:pos="1134"/>
        </w:tabs>
        <w:spacing w:after="0" w:line="240" w:lineRule="auto"/>
        <w:ind w:left="1276" w:right="0" w:hanging="283"/>
        <w:rPr>
          <w:rFonts w:ascii="Times New Roman" w:hAnsi="Times New Roman" w:cs="Times New Roman"/>
          <w:sz w:val="18"/>
          <w:szCs w:val="18"/>
        </w:rPr>
      </w:pPr>
      <w:r w:rsidRPr="00E54F16">
        <w:rPr>
          <w:rFonts w:ascii="Times New Roman" w:hAnsi="Times New Roman" w:cs="Times New Roman"/>
          <w:sz w:val="18"/>
          <w:szCs w:val="18"/>
        </w:rPr>
        <w:t xml:space="preserve">dwustronną komunikację w czasie rzeczywistym, w ramach której akcjonariusze mogą wypowiadać się wtoku obrad walnego zgromadzenia, przebywając w miejscu innym niż miejsce obrad walnego zgromadzenia, </w:t>
      </w:r>
    </w:p>
    <w:p w:rsidR="00231152" w:rsidRPr="00E54F16" w:rsidRDefault="002B2AC4" w:rsidP="00132012">
      <w:pPr>
        <w:numPr>
          <w:ilvl w:val="0"/>
          <w:numId w:val="2"/>
        </w:numPr>
        <w:tabs>
          <w:tab w:val="left" w:pos="1134"/>
        </w:tabs>
        <w:spacing w:after="0" w:line="240" w:lineRule="auto"/>
        <w:ind w:left="1276" w:right="0" w:hanging="283"/>
        <w:rPr>
          <w:rFonts w:ascii="Times New Roman" w:hAnsi="Times New Roman" w:cs="Times New Roman"/>
          <w:sz w:val="18"/>
          <w:szCs w:val="18"/>
        </w:rPr>
      </w:pPr>
      <w:r w:rsidRPr="00E54F16">
        <w:rPr>
          <w:rFonts w:ascii="Times New Roman" w:hAnsi="Times New Roman" w:cs="Times New Roman"/>
          <w:sz w:val="18"/>
          <w:szCs w:val="18"/>
        </w:rPr>
        <w:t>wykonywanie, osobiście lub przez pełnomocnika, prawa głosu w toku walnego zgromadzenia.</w:t>
      </w:r>
    </w:p>
    <w:p w:rsidR="00231152" w:rsidRPr="00E54F16" w:rsidRDefault="002B2AC4" w:rsidP="00132012">
      <w:pPr>
        <w:spacing w:after="0" w:line="240" w:lineRule="auto"/>
        <w:ind w:right="0" w:firstLine="92"/>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jest stosowana.</w:t>
      </w:r>
    </w:p>
    <w:p w:rsidR="00231152" w:rsidRDefault="002B2AC4" w:rsidP="00132012">
      <w:pPr>
        <w:spacing w:after="0" w:line="240" w:lineRule="auto"/>
        <w:ind w:left="709" w:right="0" w:firstLine="0"/>
        <w:rPr>
          <w:rFonts w:ascii="Times New Roman" w:hAnsi="Times New Roman" w:cs="Times New Roman"/>
          <w:i/>
          <w:sz w:val="18"/>
          <w:szCs w:val="18"/>
        </w:rPr>
      </w:pPr>
      <w:r w:rsidRPr="00E54F16">
        <w:rPr>
          <w:rFonts w:ascii="Times New Roman" w:hAnsi="Times New Roman" w:cs="Times New Roman"/>
          <w:b/>
          <w:i/>
          <w:sz w:val="18"/>
          <w:szCs w:val="18"/>
        </w:rPr>
        <w:t xml:space="preserve">Komentarz spółki: </w:t>
      </w:r>
      <w:r w:rsidRPr="00E54F16">
        <w:rPr>
          <w:rFonts w:ascii="Times New Roman" w:hAnsi="Times New Roman" w:cs="Times New Roman"/>
          <w:i/>
          <w:sz w:val="18"/>
          <w:szCs w:val="18"/>
        </w:rPr>
        <w:t xml:space="preserve">Przedmiotowa rekomendacja nie jest stosowana. Aktualnie Statut Spółki nie zawiera zapisów dopuszczających udział w Walnym Zgromadzeniu przy wykorzystaniu środków komunikacji elektronicznej, w tym transmisję obrad w czasie </w:t>
      </w:r>
      <w:r w:rsidR="00492EB9">
        <w:rPr>
          <w:rFonts w:ascii="Times New Roman" w:hAnsi="Times New Roman" w:cs="Times New Roman"/>
          <w:i/>
          <w:sz w:val="18"/>
          <w:szCs w:val="18"/>
        </w:rPr>
        <w:t>rzeczywistym. W 2017</w:t>
      </w:r>
      <w:r w:rsidRPr="00E54F16">
        <w:rPr>
          <w:rFonts w:ascii="Times New Roman" w:hAnsi="Times New Roman" w:cs="Times New Roman"/>
          <w:i/>
          <w:sz w:val="18"/>
          <w:szCs w:val="18"/>
        </w:rPr>
        <w:t xml:space="preserve"> r. Spółka nie zapewniała akcjonariuszom możliwości udziału w Walnym Zgromadzeniu przy wykorzystaniu środków komunikacji elektronicznej, polegającego na transmisji obrad Walnego Zgromadzenia w czasie rzeczywistym, a także dwustronnej komunikacji w czasie rzeczywistym, w ramach której akcjonariusze mogą wypowiadać się w toku obrad Walnego Zgromadzenia przebywając w miejscu innym niż miejsce obrad. W ocenie Zarządu Spółki z uwagi na strukturę akcjonariatu transmitowanie obrad Walnego Zgromadzenie w czasie rzeczywistym, czy też umożliwienie dwustronnej komunikacji w trakcie obrad, nie jest konieczne. Jednocześnie, należy zwrócić uwagę, na istotne ryzyka natury prawnej i technicznej związane z organizacją Walnego Zgromadzenia przy wykorzystaniu środków komunikacji elektronicznej. W świetle obowiązujących przepisów prawa, wątpliwości dotyczą przede wszystkim możliwości identyfikacji akcjonariuszy i badania legitymacji uczestników Walnego Zgromadzenia. Wystąpienie problemów technicznych, np. z połączeniem internetowym lub potencjalną zewnętrzną ingerencją w systemy informatyczne, może natomiast zaburzyć prace Walnego Zgromadzenia oraz wywołać wątpliwości, co do skuteczności uchwał podejmowanych w jego trakcie. Spółka w 201</w:t>
      </w:r>
      <w:r w:rsidR="009D1583">
        <w:rPr>
          <w:rFonts w:ascii="Times New Roman" w:hAnsi="Times New Roman" w:cs="Times New Roman"/>
          <w:i/>
          <w:sz w:val="18"/>
          <w:szCs w:val="18"/>
        </w:rPr>
        <w:t>7</w:t>
      </w:r>
      <w:r w:rsidRPr="00E54F16">
        <w:rPr>
          <w:rFonts w:ascii="Times New Roman" w:hAnsi="Times New Roman" w:cs="Times New Roman"/>
          <w:i/>
          <w:sz w:val="18"/>
          <w:szCs w:val="18"/>
        </w:rPr>
        <w:t xml:space="preserve"> r. zachowywała wszelkie wymogi dotyczące Walnych Zgromadzeń zawarte w DPSN 2016, za wyjątkiem tych, które odnoszą się do udziału w zgromadzeniu przy wykorzystaniu środków komunikacji elektronicznej, a także przestrzegała powszechnie obowiązujących przepisów prawa w tym zakresie, co - w ocenie Zarządu - umożliwiało wszystkim zainteresowanym akcjonariuszom korzystanie z przysługujących im uprawnień.</w:t>
      </w:r>
    </w:p>
    <w:p w:rsidR="00424BE2" w:rsidRPr="00E54F16" w:rsidRDefault="00424BE2" w:rsidP="00132012">
      <w:pPr>
        <w:spacing w:after="0" w:line="240" w:lineRule="auto"/>
        <w:ind w:left="709" w:right="0" w:firstLine="0"/>
        <w:rPr>
          <w:rFonts w:ascii="Times New Roman" w:hAnsi="Times New Roman" w:cs="Times New Roman"/>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IV.R.3. </w:t>
      </w:r>
      <w:r w:rsidRPr="00E54F16">
        <w:rPr>
          <w:rFonts w:ascii="Times New Roman" w:hAnsi="Times New Roman" w:cs="Times New Roman"/>
          <w:sz w:val="18"/>
          <w:szCs w:val="18"/>
        </w:rPr>
        <w:t>Spółka dąży do tego, aby w sytuacji gdy papiery wartościowe wyemitowane przez spółkę są przedmiotem obrotu w różnych krajach (lub na różnych rynkach) i w ramach różnych systemów prawnych, realizacja zdarzeń korporacyjnych związanych z nabyciem praw po stronie akcjonariusza następowała w tych samych terminach we wszystkich krajach, w których są one notowane.</w:t>
      </w:r>
    </w:p>
    <w:p w:rsidR="00231152" w:rsidRPr="00E54F16" w:rsidRDefault="00424BE2" w:rsidP="00424BE2">
      <w:pPr>
        <w:spacing w:after="0" w:line="240" w:lineRule="auto"/>
        <w:ind w:left="709" w:right="0" w:hanging="709"/>
        <w:jc w:val="left"/>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nie dotyczy spółki.</w:t>
      </w:r>
    </w:p>
    <w:p w:rsidR="00231152" w:rsidRPr="00E54F16" w:rsidRDefault="002B2AC4" w:rsidP="00424BE2">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b/>
          <w:i/>
          <w:sz w:val="18"/>
          <w:szCs w:val="18"/>
        </w:rPr>
        <w:lastRenderedPageBreak/>
        <w:t xml:space="preserve">Komentarz spółki: </w:t>
      </w:r>
      <w:r w:rsidRPr="00E54F16">
        <w:rPr>
          <w:rFonts w:ascii="Times New Roman" w:hAnsi="Times New Roman" w:cs="Times New Roman"/>
          <w:i/>
          <w:sz w:val="18"/>
          <w:szCs w:val="18"/>
        </w:rPr>
        <w:t xml:space="preserve">Przedmiotowa rekomendacja nie dotyczy Spółki. </w:t>
      </w:r>
      <w:r w:rsidR="00BC7E94" w:rsidRPr="00BC7E94">
        <w:rPr>
          <w:rFonts w:ascii="Times New Roman" w:hAnsi="Times New Roman" w:cs="Times New Roman"/>
          <w:i/>
          <w:sz w:val="18"/>
          <w:szCs w:val="18"/>
        </w:rPr>
        <w:t>Akcje wyemitowane przez Spółkę są przedmiotem obrotu wyłącznie na Giełdzie Papierów Wartościowych w Warszawie. Obligacje Spółki były w 2017 r. notowane w alternatywnym systemie obrotu prowadzonym przez G</w:t>
      </w:r>
      <w:r w:rsidR="00B47521">
        <w:rPr>
          <w:rFonts w:ascii="Times New Roman" w:hAnsi="Times New Roman" w:cs="Times New Roman"/>
          <w:i/>
          <w:sz w:val="18"/>
          <w:szCs w:val="18"/>
        </w:rPr>
        <w:t xml:space="preserve">iełdzie Papierów Wartościowych S.A. </w:t>
      </w:r>
      <w:r w:rsidR="00BC7E94" w:rsidRPr="00BC7E94">
        <w:rPr>
          <w:rFonts w:ascii="Times New Roman" w:hAnsi="Times New Roman" w:cs="Times New Roman"/>
          <w:i/>
          <w:sz w:val="18"/>
          <w:szCs w:val="18"/>
        </w:rPr>
        <w:t xml:space="preserve"> i </w:t>
      </w:r>
      <w:proofErr w:type="spellStart"/>
      <w:r w:rsidR="00BC7E94" w:rsidRPr="00BC7E94">
        <w:rPr>
          <w:rFonts w:ascii="Times New Roman" w:hAnsi="Times New Roman" w:cs="Times New Roman"/>
          <w:i/>
          <w:sz w:val="18"/>
          <w:szCs w:val="18"/>
        </w:rPr>
        <w:t>BondSpot</w:t>
      </w:r>
      <w:proofErr w:type="spellEnd"/>
      <w:r w:rsidR="00BC7E94" w:rsidRPr="00BC7E94">
        <w:rPr>
          <w:rFonts w:ascii="Times New Roman" w:hAnsi="Times New Roman" w:cs="Times New Roman"/>
          <w:i/>
          <w:sz w:val="18"/>
          <w:szCs w:val="18"/>
        </w:rPr>
        <w:t xml:space="preserve"> S.A. Obrót papierami wartościowymi emitowanymi przez Spółkę był </w:t>
      </w:r>
      <w:r w:rsidR="00B47521">
        <w:rPr>
          <w:rFonts w:ascii="Times New Roman" w:hAnsi="Times New Roman" w:cs="Times New Roman"/>
          <w:i/>
          <w:sz w:val="18"/>
          <w:szCs w:val="18"/>
        </w:rPr>
        <w:t>organizowany</w:t>
      </w:r>
      <w:r w:rsidR="00BC7E94" w:rsidRPr="00BC7E94">
        <w:rPr>
          <w:rFonts w:ascii="Times New Roman" w:hAnsi="Times New Roman" w:cs="Times New Roman"/>
          <w:i/>
          <w:sz w:val="18"/>
          <w:szCs w:val="18"/>
        </w:rPr>
        <w:t xml:space="preserve"> wyłącznie na teryt</w:t>
      </w:r>
      <w:r w:rsidR="00BC7E94">
        <w:rPr>
          <w:rFonts w:ascii="Times New Roman" w:hAnsi="Times New Roman" w:cs="Times New Roman"/>
          <w:i/>
          <w:sz w:val="18"/>
          <w:szCs w:val="18"/>
        </w:rPr>
        <w:t>orium Rzecz</w:t>
      </w:r>
      <w:r w:rsidR="00F87F9D">
        <w:rPr>
          <w:rFonts w:ascii="Times New Roman" w:hAnsi="Times New Roman" w:cs="Times New Roman"/>
          <w:i/>
          <w:sz w:val="18"/>
          <w:szCs w:val="18"/>
        </w:rPr>
        <w:t>y</w:t>
      </w:r>
      <w:r w:rsidR="00BC7E94">
        <w:rPr>
          <w:rFonts w:ascii="Times New Roman" w:hAnsi="Times New Roman" w:cs="Times New Roman"/>
          <w:i/>
          <w:sz w:val="18"/>
          <w:szCs w:val="18"/>
        </w:rPr>
        <w:t>pospolitej Polskiej</w:t>
      </w:r>
      <w:r w:rsidRPr="00E54F16">
        <w:rPr>
          <w:rFonts w:ascii="Times New Roman" w:hAnsi="Times New Roman" w:cs="Times New Roman"/>
          <w:i/>
          <w:sz w:val="18"/>
          <w:szCs w:val="18"/>
        </w:rPr>
        <w:t>.</w:t>
      </w:r>
    </w:p>
    <w:p w:rsidR="00424BE2" w:rsidRDefault="00424BE2" w:rsidP="008012A8">
      <w:pPr>
        <w:spacing w:after="0" w:line="240" w:lineRule="auto"/>
        <w:ind w:left="709" w:right="0" w:hanging="709"/>
        <w:jc w:val="left"/>
        <w:rPr>
          <w:rFonts w:ascii="Times New Roman" w:hAnsi="Times New Roman" w:cs="Times New Roman"/>
          <w:b/>
          <w:sz w:val="18"/>
          <w:szCs w:val="18"/>
        </w:rPr>
      </w:pPr>
    </w:p>
    <w:p w:rsidR="00424BE2" w:rsidRPr="00ED4B9F" w:rsidRDefault="00424BE2" w:rsidP="008012A8">
      <w:pPr>
        <w:spacing w:after="0" w:line="240" w:lineRule="auto"/>
        <w:ind w:left="709" w:right="0" w:hanging="709"/>
        <w:jc w:val="left"/>
        <w:rPr>
          <w:rFonts w:ascii="Times New Roman" w:hAnsi="Times New Roman" w:cs="Times New Roman"/>
          <w:b/>
          <w:sz w:val="20"/>
          <w:szCs w:val="18"/>
        </w:rPr>
      </w:pPr>
    </w:p>
    <w:p w:rsidR="00231152" w:rsidRPr="00ED4B9F" w:rsidRDefault="002B2AC4" w:rsidP="008012A8">
      <w:pPr>
        <w:spacing w:after="0" w:line="240" w:lineRule="auto"/>
        <w:ind w:left="709" w:right="0" w:hanging="709"/>
        <w:jc w:val="left"/>
        <w:rPr>
          <w:rFonts w:ascii="Times New Roman" w:hAnsi="Times New Roman" w:cs="Times New Roman"/>
          <w:b/>
          <w:sz w:val="20"/>
          <w:szCs w:val="18"/>
        </w:rPr>
      </w:pPr>
      <w:r w:rsidRPr="00ED4B9F">
        <w:rPr>
          <w:rFonts w:ascii="Times New Roman" w:hAnsi="Times New Roman" w:cs="Times New Roman"/>
          <w:b/>
          <w:sz w:val="20"/>
          <w:szCs w:val="18"/>
        </w:rPr>
        <w:t>Zasady szczegółowe</w:t>
      </w:r>
    </w:p>
    <w:p w:rsidR="00424BE2" w:rsidRPr="00E54F16" w:rsidRDefault="00424BE2" w:rsidP="008012A8">
      <w:pPr>
        <w:spacing w:after="0" w:line="240" w:lineRule="auto"/>
        <w:ind w:left="709" w:right="0" w:hanging="709"/>
        <w:jc w:val="left"/>
        <w:rPr>
          <w:rFonts w:ascii="Times New Roman" w:hAnsi="Times New Roman" w:cs="Times New Roman"/>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IV.Z.1. </w:t>
      </w:r>
      <w:r w:rsidR="00424BE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Spółka ustala miejsce i termin walnego zgromadzenia w sposób umożliwiający udział w obradach jak największej liczbie akcjonariuszy.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IV.Z.2. </w:t>
      </w:r>
      <w:r w:rsidR="0055494B">
        <w:rPr>
          <w:rFonts w:ascii="Times New Roman" w:hAnsi="Times New Roman" w:cs="Times New Roman"/>
          <w:b/>
          <w:sz w:val="18"/>
          <w:szCs w:val="18"/>
        </w:rPr>
        <w:tab/>
      </w:r>
      <w:r w:rsidRPr="00E54F16">
        <w:rPr>
          <w:rFonts w:ascii="Times New Roman" w:hAnsi="Times New Roman" w:cs="Times New Roman"/>
          <w:sz w:val="18"/>
          <w:szCs w:val="18"/>
        </w:rPr>
        <w:t>Jeżeli jest to uzasadnione z uwagi na strukturę akcjonariatu spółki, spółka zapewnia powszechnie dostępną transmisję obrad walnego zgromadzenia w czasie rzeczywistym.</w:t>
      </w:r>
    </w:p>
    <w:p w:rsidR="00231152" w:rsidRPr="00E54F16" w:rsidRDefault="002B2AC4" w:rsidP="00424BE2">
      <w:pPr>
        <w:spacing w:after="0" w:line="240" w:lineRule="auto"/>
        <w:ind w:left="709"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jest stosowana.</w:t>
      </w:r>
    </w:p>
    <w:p w:rsidR="00231152" w:rsidRPr="00E54F16" w:rsidRDefault="002B2AC4" w:rsidP="00424BE2">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b/>
          <w:i/>
          <w:sz w:val="18"/>
          <w:szCs w:val="18"/>
        </w:rPr>
        <w:t>Komentarz spółki:</w:t>
      </w:r>
      <w:r w:rsidR="00F24476">
        <w:rPr>
          <w:rFonts w:ascii="Times New Roman" w:hAnsi="Times New Roman" w:cs="Times New Roman"/>
          <w:b/>
          <w:i/>
          <w:sz w:val="18"/>
          <w:szCs w:val="18"/>
        </w:rPr>
        <w:t xml:space="preserve"> </w:t>
      </w:r>
      <w:r w:rsidRPr="00E54F16">
        <w:rPr>
          <w:rFonts w:ascii="Times New Roman" w:hAnsi="Times New Roman" w:cs="Times New Roman"/>
          <w:i/>
          <w:sz w:val="18"/>
          <w:szCs w:val="18"/>
        </w:rPr>
        <w:t xml:space="preserve">Przedmiotowa </w:t>
      </w:r>
      <w:r w:rsidR="00760CF6">
        <w:rPr>
          <w:rFonts w:ascii="Times New Roman" w:hAnsi="Times New Roman" w:cs="Times New Roman"/>
          <w:i/>
          <w:sz w:val="18"/>
          <w:szCs w:val="18"/>
        </w:rPr>
        <w:t>zasada</w:t>
      </w:r>
      <w:r w:rsidR="00760CF6" w:rsidRPr="00E54F16">
        <w:rPr>
          <w:rFonts w:ascii="Times New Roman" w:hAnsi="Times New Roman" w:cs="Times New Roman"/>
          <w:i/>
          <w:sz w:val="18"/>
          <w:szCs w:val="18"/>
        </w:rPr>
        <w:t xml:space="preserve"> </w:t>
      </w:r>
      <w:r w:rsidRPr="00E54F16">
        <w:rPr>
          <w:rFonts w:ascii="Times New Roman" w:hAnsi="Times New Roman" w:cs="Times New Roman"/>
          <w:i/>
          <w:sz w:val="18"/>
          <w:szCs w:val="18"/>
        </w:rPr>
        <w:t>nie jest stosowana. Aktualnie Statut Spółki nie zawiera zapisów dopuszczających udział w Walnym Zgromadzeniu przy wykorzystaniu środków komunikacji elektronicznej, w tym transmisję obr</w:t>
      </w:r>
      <w:r w:rsidR="00492EB9">
        <w:rPr>
          <w:rFonts w:ascii="Times New Roman" w:hAnsi="Times New Roman" w:cs="Times New Roman"/>
          <w:i/>
          <w:sz w:val="18"/>
          <w:szCs w:val="18"/>
        </w:rPr>
        <w:t>ad w czasie rzeczywistym. W 2017</w:t>
      </w:r>
      <w:r w:rsidRPr="00E54F16">
        <w:rPr>
          <w:rFonts w:ascii="Times New Roman" w:hAnsi="Times New Roman" w:cs="Times New Roman"/>
          <w:i/>
          <w:sz w:val="18"/>
          <w:szCs w:val="18"/>
        </w:rPr>
        <w:t xml:space="preserve"> r. Spółka nie zapewniała akcjonariuszom możliwości udziału w Walnym Zgromadzeniu przy wykorzystaniu środków komunikacji elektronicznej, polegającego na transmisji obrad Walnego Zgromadzenia w czasie rzeczywistym, a także dwustronnej komunikacji w czasie rzeczywistym, w ramach której akcjonariusze mogą wypowiadać się w toku obrad Walnego Zgromadzenia przebywając w miejscu innym niż miejsce obrad. W ocenie Zarządu Spółki z uwagi na strukturę akcjonariatu transmitowanie obrad Walnego Zgromadzenie w czasie rzeczywistym, czy też umożliwienie dwustronnej komunikacji w trakcie obrad, nie jest konieczne. Jednocześnie, należy zwrócić uwagę, na istotne ryzyka natury prawnej i technicznej związane z organizacją Walnego Zgromadzenia przy wykorzystaniu środków komunikacji elektronicznej. W świetle obowiązujących przepisów prawa, wątpliwości dotyczą przede wszystkim możliwości identyfikacji akcjonariuszy i badania legitymacji uczestników Walnego Zgromadzenia. Wystąpienie problemów technicznych, np. z połączeniem internetowym lub potencjalną zewnętrzną ingerencją w systemy informatyczne, może natomiast zaburzyć prace Walnego Zgromadzenia oraz wywołać wątpliwości, co do skuteczności uchwał podejmowanych w jego trakcie. Spółka w </w:t>
      </w:r>
      <w:r w:rsidR="00196807" w:rsidRPr="00E54F16">
        <w:rPr>
          <w:rFonts w:ascii="Times New Roman" w:hAnsi="Times New Roman" w:cs="Times New Roman"/>
          <w:i/>
          <w:sz w:val="18"/>
          <w:szCs w:val="18"/>
        </w:rPr>
        <w:t>201</w:t>
      </w:r>
      <w:r w:rsidR="00196807">
        <w:rPr>
          <w:rFonts w:ascii="Times New Roman" w:hAnsi="Times New Roman" w:cs="Times New Roman"/>
          <w:i/>
          <w:sz w:val="18"/>
          <w:szCs w:val="18"/>
        </w:rPr>
        <w:t>7</w:t>
      </w:r>
      <w:r w:rsidR="00196807" w:rsidRPr="00E54F16">
        <w:rPr>
          <w:rFonts w:ascii="Times New Roman" w:hAnsi="Times New Roman" w:cs="Times New Roman"/>
          <w:i/>
          <w:sz w:val="18"/>
          <w:szCs w:val="18"/>
        </w:rPr>
        <w:t xml:space="preserve"> </w:t>
      </w:r>
      <w:r w:rsidRPr="00E54F16">
        <w:rPr>
          <w:rFonts w:ascii="Times New Roman" w:hAnsi="Times New Roman" w:cs="Times New Roman"/>
          <w:i/>
          <w:sz w:val="18"/>
          <w:szCs w:val="18"/>
        </w:rPr>
        <w:t>r. zachowywała wszelkie wymogi dotyczące Walnych Zgromadzeń zawarte w DPSN 2016, za wyjątkiem tych, które odnoszą się do udziału w zgromadzeniu przy wykorzystaniu środków komunikacji elektronicznej, a także przestrzegała powszechnie obowiązujących przepisów prawa w tym zakresie, co - w ocenie Zarządu - umożliwiało wszystkim zainteresowanym akcjonariuszom korzystanie z przysługujących im uprawnień.</w:t>
      </w:r>
    </w:p>
    <w:p w:rsidR="00424BE2" w:rsidRDefault="00424BE2" w:rsidP="00424BE2">
      <w:pPr>
        <w:spacing w:after="0" w:line="240" w:lineRule="auto"/>
        <w:ind w:left="709" w:right="0" w:firstLine="0"/>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IV.Z.3. </w:t>
      </w:r>
      <w:r w:rsidR="00424BE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Przedstawicielom mediów umożliwia się obecność na walnych zgromadzeniach.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IV.Z.4. </w:t>
      </w:r>
      <w:r w:rsidR="00424BE2">
        <w:rPr>
          <w:rFonts w:ascii="Times New Roman" w:hAnsi="Times New Roman" w:cs="Times New Roman"/>
          <w:b/>
          <w:sz w:val="18"/>
          <w:szCs w:val="18"/>
        </w:rPr>
        <w:t xml:space="preserve">  </w:t>
      </w:r>
      <w:r w:rsidRPr="00E54F16">
        <w:rPr>
          <w:rFonts w:ascii="Times New Roman" w:hAnsi="Times New Roman" w:cs="Times New Roman"/>
          <w:sz w:val="18"/>
          <w:szCs w:val="18"/>
        </w:rPr>
        <w:t>W przypadku otrzymania przez zarząd informacji o zwołaniu walnego zgromadzenia na podstawie art. 399 § 2 - 4 Kodeksu spółek handlowych, zarząd niezwłocznie dokonuje czynności, do których jest zobowiązany w związku z organizacją i przeprowadzeniem walnego zgromadzenia. Zasada ma zastosowanie również w przypadku zwołania walnego zgromadzenia na podstawie upoważnienia wydanego przez sąd rejestrowy zgodnie z art. 400 § 3 Kodeksu spółek handlowych.</w:t>
      </w:r>
      <w:r w:rsidR="00424BE2" w:rsidRPr="00424BE2">
        <w:rPr>
          <w:rFonts w:ascii="Times New Roman" w:hAnsi="Times New Roman" w:cs="Times New Roman"/>
          <w:sz w:val="18"/>
          <w:szCs w:val="18"/>
        </w:rPr>
        <w:t xml:space="preserve">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IV.Z.5. </w:t>
      </w:r>
      <w:r w:rsidR="00424BE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Regulamin walnego zgromadzenia, a także sposób prowadzenia obrad oraz podejmowania uchwał nie mogą utrudniać uczestnictwa akcjonariuszy w walnym zgromadzeniu i wykonywania przysługujących im praw. Zmiany w regulaminie walnego zgromadzenia powinny obowiązywać najwcześniej od następnego walnego zgromadzenia. </w:t>
      </w:r>
      <w:r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IV.Z.6. </w:t>
      </w:r>
      <w:r w:rsidR="00424BE2">
        <w:rPr>
          <w:rFonts w:ascii="Times New Roman" w:hAnsi="Times New Roman" w:cs="Times New Roman"/>
          <w:b/>
          <w:sz w:val="18"/>
          <w:szCs w:val="18"/>
        </w:rPr>
        <w:t xml:space="preserve">  </w:t>
      </w:r>
      <w:r w:rsidRPr="00E54F16">
        <w:rPr>
          <w:rFonts w:ascii="Times New Roman" w:hAnsi="Times New Roman" w:cs="Times New Roman"/>
          <w:sz w:val="18"/>
          <w:szCs w:val="18"/>
        </w:rPr>
        <w:t>Spółka dokłada starań, aby odwołanie walnego zgromadzenia, zmiana terminu lub zarządzenie przerwy w obradach nie uniemożliwiały lub nie ograniczały akcjonariuszom wykonywania prawa do uczestnictwa w walnym zgromadzeniu.</w:t>
      </w:r>
      <w:r w:rsidR="00424BE2" w:rsidRPr="00424BE2">
        <w:rPr>
          <w:rFonts w:ascii="Times New Roman" w:hAnsi="Times New Roman" w:cs="Times New Roman"/>
          <w:sz w:val="18"/>
          <w:szCs w:val="18"/>
        </w:rPr>
        <w:t xml:space="preserve">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IV.Z.7. </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Przerwa w obradach walnego zgromadzenia może mieć miejsce jedynie w szczególnych sytuacjach, każdorazowo wskazanych w uzasadnieniu uchwały w sprawie zarządzenia przerwy, sporządzanego w oparciu o powody przedstawione przez akcjonariusza wnioskującego o zarządzenie przerwy.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IV.Z.8. </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Uchwała walnego zgromadzenia w sprawie zarządzenia przerwy wskazuje wyraźnie termin wznowienia obrad, przy czym termin ten nie może stanowić bariery dla wzięcia udziału we wznowionych obradach przez większość akcjonariuszy, w tym akcjonariuszy mniejszościowych.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IV.Z.9. </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Spółka dokłada starań, aby projekty uchwał walnego zgromadzenia zawierały uzasadnienie, jeżeli ułatwi to akcjonariuszom podjęcie uchwały z należytym rozeznaniem. W przypadku, gdy umieszczenie danej sprawy w </w:t>
      </w:r>
      <w:r w:rsidRPr="00E54F16">
        <w:rPr>
          <w:rFonts w:ascii="Times New Roman" w:hAnsi="Times New Roman" w:cs="Times New Roman"/>
          <w:sz w:val="18"/>
          <w:szCs w:val="18"/>
        </w:rPr>
        <w:lastRenderedPageBreak/>
        <w:t xml:space="preserve">porządku obrad walnego zgromadzenia następuje na żądanie akcjonariusza lub akcjonariuszy, zarząd lub przewodniczący walnego zgromadzenia zwraca się o przedstawienie uzasadnienia proponowanej uchwały. W istotnych sprawach lub mogących budzić wątpliwości akcjonariuszy spółka przekaże uzasadnienie, chyba że w inny sposób przedstawi akcjonariuszom informacje, które zapewnią podjęcie uchwały z należytym rozeznaniem.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IV.Z.10.</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Realizacja uprawnień akcjonariuszy oraz sposób wykonywania przez nich posiadanych uprawnień nie mogą prowadzić do utrudniania prawidłowego działania organów spółki.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424BE2" w:rsidRDefault="002B2AC4" w:rsidP="00424BE2">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IV.Z.11.</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Członkowie zarządu i rady nadzorczej uczestniczą w obradach walnego zgromadzenia w składzie umożliwiającym udzielenie merytorycznej odpowiedzi na pytania zadawane w trakcie walnego zgromadzenia. </w:t>
      </w:r>
    </w:p>
    <w:p w:rsidR="00231152" w:rsidRPr="00E54F16" w:rsidRDefault="00424BE2" w:rsidP="00424BE2">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IV.Z.12.</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Zarząd powinien prezentować uczestnikom zwyczajnego walnego zgromadzenia wyniki finansowe spółki oraz inne istotne informacje zawarte w sprawozdaniu finansowym podlegającym zatwierdzeniu przez walne zgromadzenie. </w:t>
      </w:r>
      <w:r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131974" w:rsidRDefault="002B2AC4" w:rsidP="00131974">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IV.Z.13.</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W przypadku zgłoszenia przez akcjonariusza żądania udzielenia informacji na temat spółki, nie później niż w terminie 30 dni zarząd spółki jest obowiązany udzielić odpowiedzi na żądanie akcjonariusza lub poinformować go o odmowie udzielenia takiej informacji, jeżeli zarząd podjął taką decyzję na podstawie art. 428 § 2 lub § 3 Kodeksu spółek handlowych.</w:t>
      </w:r>
      <w:r w:rsidR="00131974" w:rsidRPr="00131974">
        <w:rPr>
          <w:rFonts w:ascii="Times New Roman" w:hAnsi="Times New Roman" w:cs="Times New Roman"/>
          <w:sz w:val="18"/>
          <w:szCs w:val="18"/>
        </w:rPr>
        <w:t xml:space="preserve"> </w:t>
      </w:r>
    </w:p>
    <w:p w:rsidR="00231152" w:rsidRPr="00E54F16" w:rsidRDefault="00131974" w:rsidP="00131974">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131974" w:rsidRDefault="002B2AC4" w:rsidP="00131974">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IV.Z.14.</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Uchwały walnego zgromadzenia powinny zapewniać zachowanie niezbędnego odstępu czasowego pomiędzy decyzjami powodującymi określone zdarzenia korporacyjne, a datami, w których ustalane są prawa akcjonariuszy wynikające z tych zdarzeń korporacyjnych. </w:t>
      </w:r>
    </w:p>
    <w:p w:rsidR="00231152" w:rsidRPr="00E54F16" w:rsidRDefault="00131974" w:rsidP="00131974">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131974" w:rsidRDefault="002B2AC4" w:rsidP="00131974">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IV.Z.15.</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Uchwała walnego zgromadzenia w sprawie emisji akcji z prawem poboru powinna precyzować cenę emisyjną albo mechanizm jej ustalenia, bądź zobowiązywać organ do tego upoważniony do ustalenia jej przed dniem prawa poboru, w terminie umożliwiającym podjęcie decyzji inwestycyjnej. </w:t>
      </w:r>
    </w:p>
    <w:p w:rsidR="00231152" w:rsidRPr="00E54F16" w:rsidRDefault="00131974" w:rsidP="00131974">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IV.Z.16.</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Dzień dywidendy oraz terminy wypłaty dywidendy powinny być tak ustalone, aby okres przypadający pomiędzy nimi był nie dłuższy niż 15 dni roboczych. Ustalenie dłuższego okresu pomiędzy tymi terminami wymaga uzasadnienia. </w:t>
      </w:r>
      <w:r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131974" w:rsidRDefault="002B2AC4" w:rsidP="00131974">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IV.Z.17.</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 xml:space="preserve">Uchwała walnego zgromadzenia w sprawie wypłaty dywidendy warunkowej może zawierać tylko takie warunki, których ewentualne ziszczenie nastąpi przed dniem dywidendy. </w:t>
      </w:r>
    </w:p>
    <w:p w:rsidR="00231152" w:rsidRPr="00E54F16" w:rsidRDefault="00131974" w:rsidP="00131974">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131974" w:rsidRDefault="002B2AC4" w:rsidP="00131974">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IV.Z.18.</w:t>
      </w:r>
      <w:r w:rsidR="00131974">
        <w:rPr>
          <w:rFonts w:ascii="Times New Roman" w:hAnsi="Times New Roman" w:cs="Times New Roman"/>
          <w:b/>
          <w:sz w:val="18"/>
          <w:szCs w:val="18"/>
        </w:rPr>
        <w:t xml:space="preserve">  </w:t>
      </w:r>
      <w:r w:rsidRPr="00E54F16">
        <w:rPr>
          <w:rFonts w:ascii="Times New Roman" w:hAnsi="Times New Roman" w:cs="Times New Roman"/>
          <w:sz w:val="18"/>
          <w:szCs w:val="18"/>
        </w:rPr>
        <w:t>Uchwała walnego zgromadzenia o podziale wartości nominalnej akcji nie powinna ustalać nowej wartości nominalnej akcji na poziomie niższym niż 0,50 zł, który mógłby skutkować bardzo niską jednostkową wartością rynkową tych akcji, co w konsekwencji mogłoby stanowić zagrożenie dla prawidłowości i wiarygodności wyceny spółki notowanej na giełdzie.</w:t>
      </w:r>
      <w:r w:rsidR="00131974" w:rsidRPr="00131974">
        <w:rPr>
          <w:rFonts w:ascii="Times New Roman" w:hAnsi="Times New Roman" w:cs="Times New Roman"/>
          <w:sz w:val="18"/>
          <w:szCs w:val="18"/>
        </w:rPr>
        <w:t xml:space="preserve"> </w:t>
      </w:r>
    </w:p>
    <w:p w:rsidR="00231152" w:rsidRDefault="00131974" w:rsidP="00131974">
      <w:pPr>
        <w:spacing w:after="0" w:line="240" w:lineRule="auto"/>
        <w:ind w:left="709" w:right="0" w:hanging="709"/>
        <w:rPr>
          <w:rFonts w:ascii="Times New Roman" w:hAnsi="Times New Roman" w:cs="Times New Roman"/>
          <w:i/>
          <w:sz w:val="18"/>
          <w:szCs w:val="18"/>
          <w:u w:val="single" w:color="000000"/>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7558E2" w:rsidRDefault="007558E2" w:rsidP="008012A8">
      <w:pPr>
        <w:spacing w:after="0" w:line="240" w:lineRule="auto"/>
        <w:ind w:left="709" w:right="0" w:hanging="709"/>
        <w:jc w:val="left"/>
        <w:rPr>
          <w:rFonts w:ascii="Times New Roman" w:hAnsi="Times New Roman" w:cs="Times New Roman"/>
          <w:i/>
          <w:sz w:val="18"/>
          <w:szCs w:val="18"/>
          <w:u w:val="single" w:color="000000"/>
        </w:rPr>
      </w:pPr>
    </w:p>
    <w:p w:rsidR="00F65977" w:rsidRPr="007558E2" w:rsidRDefault="00F65977" w:rsidP="007558E2">
      <w:pPr>
        <w:spacing w:after="0" w:line="240" w:lineRule="auto"/>
        <w:ind w:left="709" w:right="0" w:hanging="709"/>
        <w:jc w:val="left"/>
        <w:rPr>
          <w:rFonts w:ascii="Times New Roman" w:hAnsi="Times New Roman" w:cs="Times New Roman"/>
          <w:sz w:val="22"/>
          <w:szCs w:val="18"/>
        </w:rPr>
      </w:pPr>
    </w:p>
    <w:p w:rsidR="00231152" w:rsidRPr="007558E2" w:rsidRDefault="002B2AC4" w:rsidP="007558E2">
      <w:pPr>
        <w:pStyle w:val="Nagwek1"/>
        <w:spacing w:after="0" w:line="240" w:lineRule="auto"/>
        <w:ind w:left="709" w:hanging="709"/>
        <w:rPr>
          <w:rFonts w:ascii="Times New Roman" w:hAnsi="Times New Roman" w:cs="Times New Roman"/>
          <w:sz w:val="22"/>
          <w:szCs w:val="18"/>
        </w:rPr>
      </w:pPr>
      <w:r w:rsidRPr="007558E2">
        <w:rPr>
          <w:rFonts w:ascii="Times New Roman" w:hAnsi="Times New Roman" w:cs="Times New Roman"/>
          <w:sz w:val="22"/>
          <w:szCs w:val="18"/>
        </w:rPr>
        <w:t>Konflikt interesów i transakcje z podmiotami powiązanymi</w:t>
      </w:r>
    </w:p>
    <w:p w:rsidR="007558E2" w:rsidRDefault="007558E2" w:rsidP="007558E2">
      <w:pPr>
        <w:spacing w:after="0" w:line="240" w:lineRule="auto"/>
      </w:pPr>
    </w:p>
    <w:p w:rsidR="007558E2" w:rsidRPr="007558E2" w:rsidRDefault="007558E2" w:rsidP="007558E2">
      <w:pPr>
        <w:spacing w:after="0" w:line="240" w:lineRule="auto"/>
      </w:pPr>
    </w:p>
    <w:p w:rsidR="00231152" w:rsidRDefault="002B2AC4" w:rsidP="007558E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Na potrzeby niniejszego rozdziału przyjmuje się definicję podmiotu powiązanego określoną w międzynarodowych standardach rachunkowości przyjętych zgodnie z rozporządzeniem (WE) nr 1606/2002 Parlamentu Europejskiego i Rady z dnia 19 lipca 2002 r. w sprawie stosowania międzynarodowych standardów rachunkowości.</w:t>
      </w:r>
    </w:p>
    <w:p w:rsidR="007558E2" w:rsidRPr="00E54F16" w:rsidRDefault="007558E2" w:rsidP="007558E2">
      <w:pPr>
        <w:spacing w:after="0" w:line="240" w:lineRule="auto"/>
        <w:ind w:left="0" w:right="0" w:firstLine="0"/>
        <w:rPr>
          <w:rFonts w:ascii="Times New Roman" w:hAnsi="Times New Roman" w:cs="Times New Roman"/>
          <w:sz w:val="18"/>
          <w:szCs w:val="18"/>
        </w:rPr>
      </w:pPr>
    </w:p>
    <w:p w:rsidR="00231152" w:rsidRDefault="002B2AC4" w:rsidP="007558E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Spółka powinna posiadać przejrzyste procedury zapobiegania konfliktom interesów i zawieraniu transakcji z podmiotami powiązanymi w warunkach możliwości wystąpienia konfliktu interesów. Procedury powinny przewidywać sposoby identyfikacji takich sytuacji, ich ujawniania oraz zarządzania nimi.</w:t>
      </w:r>
    </w:p>
    <w:p w:rsidR="007558E2" w:rsidRDefault="007558E2" w:rsidP="008012A8">
      <w:pPr>
        <w:spacing w:after="0" w:line="240" w:lineRule="auto"/>
        <w:ind w:left="709" w:right="0" w:hanging="709"/>
        <w:jc w:val="left"/>
        <w:rPr>
          <w:rFonts w:ascii="Times New Roman" w:hAnsi="Times New Roman" w:cs="Times New Roman"/>
          <w:b/>
          <w:sz w:val="18"/>
          <w:szCs w:val="18"/>
        </w:rPr>
      </w:pPr>
    </w:p>
    <w:p w:rsidR="007558E2" w:rsidRPr="00E54F16" w:rsidRDefault="007558E2" w:rsidP="008012A8">
      <w:pPr>
        <w:spacing w:after="0" w:line="240" w:lineRule="auto"/>
        <w:ind w:left="709" w:right="0" w:hanging="709"/>
        <w:jc w:val="left"/>
        <w:rPr>
          <w:rFonts w:ascii="Times New Roman" w:hAnsi="Times New Roman" w:cs="Times New Roman"/>
          <w:sz w:val="18"/>
          <w:szCs w:val="18"/>
        </w:rPr>
      </w:pPr>
    </w:p>
    <w:p w:rsidR="00231152" w:rsidRPr="007558E2" w:rsidRDefault="002B2AC4" w:rsidP="008012A8">
      <w:pPr>
        <w:spacing w:after="0" w:line="240" w:lineRule="auto"/>
        <w:ind w:left="709" w:right="0" w:hanging="709"/>
        <w:jc w:val="left"/>
        <w:rPr>
          <w:rFonts w:ascii="Times New Roman" w:hAnsi="Times New Roman" w:cs="Times New Roman"/>
          <w:b/>
          <w:sz w:val="20"/>
          <w:szCs w:val="18"/>
        </w:rPr>
      </w:pPr>
      <w:r w:rsidRPr="007558E2">
        <w:rPr>
          <w:rFonts w:ascii="Times New Roman" w:hAnsi="Times New Roman" w:cs="Times New Roman"/>
          <w:b/>
          <w:sz w:val="20"/>
          <w:szCs w:val="18"/>
        </w:rPr>
        <w:t>Rekomendacje</w:t>
      </w:r>
    </w:p>
    <w:p w:rsidR="007558E2" w:rsidRPr="00E54F16" w:rsidRDefault="007558E2" w:rsidP="008012A8">
      <w:pPr>
        <w:spacing w:after="0" w:line="240" w:lineRule="auto"/>
        <w:ind w:left="709" w:right="0" w:hanging="709"/>
        <w:jc w:val="left"/>
        <w:rPr>
          <w:rFonts w:ascii="Times New Roman" w:hAnsi="Times New Roman" w:cs="Times New Roman"/>
          <w:sz w:val="18"/>
          <w:szCs w:val="18"/>
        </w:rPr>
      </w:pPr>
    </w:p>
    <w:p w:rsidR="00A22E99" w:rsidRDefault="002B2AC4" w:rsidP="00A22E99">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V.R.1. </w:t>
      </w:r>
      <w:r w:rsidR="00A22E99">
        <w:rPr>
          <w:rFonts w:ascii="Times New Roman" w:hAnsi="Times New Roman" w:cs="Times New Roman"/>
          <w:b/>
          <w:sz w:val="18"/>
          <w:szCs w:val="18"/>
        </w:rPr>
        <w:t xml:space="preserve">   </w:t>
      </w:r>
      <w:r w:rsidRPr="00E54F16">
        <w:rPr>
          <w:rFonts w:ascii="Times New Roman" w:hAnsi="Times New Roman" w:cs="Times New Roman"/>
          <w:sz w:val="18"/>
          <w:szCs w:val="18"/>
        </w:rPr>
        <w:t xml:space="preserve">Członek zarządu lub rady nadzorczej powinien unikać podejmowania aktywności zawodowej lub pozazawodowej, która mogłaby prowadzić do powstawania konfliktu interesów lub wpływać negatywnie na jego reputację jako członka organu spółki, a w przypadku powstania konfliktu interesów powinien niezwłocznie go ujawnić. </w:t>
      </w:r>
    </w:p>
    <w:p w:rsidR="00231152" w:rsidRPr="00E54F16" w:rsidRDefault="00A22E99" w:rsidP="00A22E99">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A22E99" w:rsidRDefault="00A22E99" w:rsidP="008012A8">
      <w:pPr>
        <w:spacing w:after="0" w:line="240" w:lineRule="auto"/>
        <w:ind w:left="709" w:right="0" w:hanging="709"/>
        <w:jc w:val="left"/>
        <w:rPr>
          <w:rFonts w:ascii="Times New Roman" w:hAnsi="Times New Roman" w:cs="Times New Roman"/>
          <w:b/>
          <w:sz w:val="18"/>
          <w:szCs w:val="18"/>
        </w:rPr>
      </w:pPr>
    </w:p>
    <w:p w:rsidR="00231152" w:rsidRPr="00ED4B9F" w:rsidRDefault="002B2AC4" w:rsidP="008012A8">
      <w:pPr>
        <w:spacing w:after="0" w:line="240" w:lineRule="auto"/>
        <w:ind w:left="709" w:right="0" w:hanging="709"/>
        <w:jc w:val="left"/>
        <w:rPr>
          <w:rFonts w:ascii="Times New Roman" w:hAnsi="Times New Roman" w:cs="Times New Roman"/>
          <w:sz w:val="20"/>
          <w:szCs w:val="18"/>
        </w:rPr>
      </w:pPr>
      <w:r w:rsidRPr="00ED4B9F">
        <w:rPr>
          <w:rFonts w:ascii="Times New Roman" w:hAnsi="Times New Roman" w:cs="Times New Roman"/>
          <w:b/>
          <w:sz w:val="20"/>
          <w:szCs w:val="18"/>
        </w:rPr>
        <w:t>Zasady szczegółowe</w:t>
      </w:r>
    </w:p>
    <w:p w:rsidR="00424BE2" w:rsidRDefault="00424BE2" w:rsidP="008012A8">
      <w:pPr>
        <w:spacing w:after="0" w:line="240" w:lineRule="auto"/>
        <w:ind w:left="709" w:right="0" w:hanging="709"/>
        <w:rPr>
          <w:rFonts w:ascii="Times New Roman" w:hAnsi="Times New Roman" w:cs="Times New Roman"/>
          <w:b/>
          <w:sz w:val="18"/>
          <w:szCs w:val="18"/>
        </w:rPr>
      </w:pPr>
    </w:p>
    <w:p w:rsidR="00A22E99" w:rsidRDefault="002B2AC4" w:rsidP="00A22E99">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V.Z.1.</w:t>
      </w:r>
      <w:r w:rsidR="00A22E99">
        <w:rPr>
          <w:rFonts w:ascii="Times New Roman" w:hAnsi="Times New Roman" w:cs="Times New Roman"/>
          <w:b/>
          <w:sz w:val="18"/>
          <w:szCs w:val="18"/>
        </w:rPr>
        <w:t xml:space="preserve">   </w:t>
      </w:r>
      <w:r w:rsidRPr="00E54F16">
        <w:rPr>
          <w:rFonts w:ascii="Times New Roman" w:hAnsi="Times New Roman" w:cs="Times New Roman"/>
          <w:b/>
          <w:sz w:val="18"/>
          <w:szCs w:val="18"/>
        </w:rPr>
        <w:t xml:space="preserve"> </w:t>
      </w:r>
      <w:r w:rsidR="00A22E99">
        <w:rPr>
          <w:rFonts w:ascii="Times New Roman" w:hAnsi="Times New Roman" w:cs="Times New Roman"/>
          <w:b/>
          <w:sz w:val="18"/>
          <w:szCs w:val="18"/>
        </w:rPr>
        <w:t xml:space="preserve"> </w:t>
      </w:r>
      <w:r w:rsidRPr="00E54F16">
        <w:rPr>
          <w:rFonts w:ascii="Times New Roman" w:hAnsi="Times New Roman" w:cs="Times New Roman"/>
          <w:sz w:val="18"/>
          <w:szCs w:val="18"/>
        </w:rPr>
        <w:t xml:space="preserve">Żaden akcjonariusz nie powinien być uprzywilejowany w stosunku do pozostałych akcjonariuszy w zakresie transakcji zawieranych przez spółkę z akcjonariuszami lub podmiotami z nimi powiązanymi. </w:t>
      </w:r>
    </w:p>
    <w:p w:rsidR="00231152" w:rsidRPr="00E54F16" w:rsidRDefault="00A22E99" w:rsidP="00A22E99">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A22E99" w:rsidRDefault="002B2AC4" w:rsidP="00A22E99">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V.Z.2. </w:t>
      </w:r>
      <w:r w:rsidR="00A22E99">
        <w:rPr>
          <w:rFonts w:ascii="Times New Roman" w:hAnsi="Times New Roman" w:cs="Times New Roman"/>
          <w:b/>
          <w:sz w:val="18"/>
          <w:szCs w:val="18"/>
        </w:rPr>
        <w:t xml:space="preserve">   </w:t>
      </w:r>
      <w:r w:rsidRPr="00E54F16">
        <w:rPr>
          <w:rFonts w:ascii="Times New Roman" w:hAnsi="Times New Roman" w:cs="Times New Roman"/>
          <w:sz w:val="18"/>
          <w:szCs w:val="18"/>
        </w:rPr>
        <w:t xml:space="preserve">Członek zarządu lub rady nadzorczej informuje odpowiednio zarząd lub radę nadzorczą o zaistniałym konflikcie interesów lub możliwości jego powstania oraz nie bierze udziału w głosowaniu nad uchwałą w sprawie, w której w stosunku do jego osoby może wystąpić konflikt interesów. </w:t>
      </w:r>
    </w:p>
    <w:p w:rsidR="00231152" w:rsidRPr="00E54F16" w:rsidRDefault="00A22E99" w:rsidP="00A22E99">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jc w:val="left"/>
        <w:rPr>
          <w:rFonts w:ascii="Times New Roman" w:hAnsi="Times New Roman" w:cs="Times New Roman"/>
          <w:b/>
          <w:sz w:val="18"/>
          <w:szCs w:val="18"/>
        </w:rPr>
      </w:pPr>
    </w:p>
    <w:p w:rsidR="00A22E99" w:rsidRDefault="002B2AC4" w:rsidP="00A22E99">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V.Z.3.</w:t>
      </w:r>
      <w:r w:rsidRPr="00E54F16">
        <w:rPr>
          <w:rFonts w:ascii="Times New Roman" w:hAnsi="Times New Roman" w:cs="Times New Roman"/>
          <w:b/>
          <w:sz w:val="18"/>
          <w:szCs w:val="18"/>
        </w:rPr>
        <w:tab/>
      </w:r>
      <w:r w:rsidRPr="00E54F16">
        <w:rPr>
          <w:rFonts w:ascii="Times New Roman" w:hAnsi="Times New Roman" w:cs="Times New Roman"/>
          <w:sz w:val="18"/>
          <w:szCs w:val="18"/>
        </w:rPr>
        <w:t>Członek zarządu lub rady nadzorczej nie może przyjmować korzyści, które mogłyby mieć wpływ na bezstronność i obiektywizm przy podejmowaniu przez niego decyzji lub rzutować negatywnie na ocenę niezależności jego opinii i sądów.</w:t>
      </w:r>
      <w:r w:rsidR="00A22E99" w:rsidRPr="00A22E99">
        <w:rPr>
          <w:rFonts w:ascii="Times New Roman" w:hAnsi="Times New Roman" w:cs="Times New Roman"/>
          <w:sz w:val="18"/>
          <w:szCs w:val="18"/>
        </w:rPr>
        <w:t xml:space="preserve"> </w:t>
      </w:r>
    </w:p>
    <w:p w:rsidR="00231152" w:rsidRPr="00E54F16" w:rsidRDefault="00A22E99" w:rsidP="00A22E99">
      <w:pPr>
        <w:spacing w:after="0" w:line="240" w:lineRule="auto"/>
        <w:ind w:left="709" w:right="0" w:hanging="709"/>
        <w:jc w:val="left"/>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A22E99" w:rsidRDefault="002B2AC4" w:rsidP="00A22E99">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V.Z.4. </w:t>
      </w:r>
      <w:r w:rsidR="00A22E99">
        <w:rPr>
          <w:rFonts w:ascii="Times New Roman" w:hAnsi="Times New Roman" w:cs="Times New Roman"/>
          <w:b/>
          <w:sz w:val="18"/>
          <w:szCs w:val="18"/>
        </w:rPr>
        <w:t xml:space="preserve">  </w:t>
      </w:r>
      <w:r w:rsidRPr="00E54F16">
        <w:rPr>
          <w:rFonts w:ascii="Times New Roman" w:hAnsi="Times New Roman" w:cs="Times New Roman"/>
          <w:sz w:val="18"/>
          <w:szCs w:val="18"/>
        </w:rPr>
        <w:t xml:space="preserve">W przypadku uznania przez członka zarządu lub rady nadzorczej, że decyzja, odpowiednio zarządu lub rady nadzorczej, stoi w sprzeczności z interesem spółki, może on zażądać zamieszczenia w protokole posiedzenia zarządu lub rady nadzorczej jego stanowiska na ten temat. </w:t>
      </w:r>
    </w:p>
    <w:p w:rsidR="00231152" w:rsidRPr="00E54F16" w:rsidRDefault="00A22E99" w:rsidP="00A22E99">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A22E99" w:rsidRDefault="002B2AC4" w:rsidP="00A22E99">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V.Z.5. </w:t>
      </w:r>
      <w:r w:rsidR="00A22E99">
        <w:rPr>
          <w:rFonts w:ascii="Times New Roman" w:hAnsi="Times New Roman" w:cs="Times New Roman"/>
          <w:b/>
          <w:sz w:val="18"/>
          <w:szCs w:val="18"/>
        </w:rPr>
        <w:t xml:space="preserve">    </w:t>
      </w:r>
      <w:r w:rsidRPr="00E54F16">
        <w:rPr>
          <w:rFonts w:ascii="Times New Roman" w:hAnsi="Times New Roman" w:cs="Times New Roman"/>
          <w:sz w:val="18"/>
          <w:szCs w:val="18"/>
        </w:rPr>
        <w:t>Przed zawarciem przez spółkę istotnej umowy z akcjonariuszem posiadającym co najmniej 5% ogólnej liczby głosów w spółce lub podmiotem powiązanym zarząd zwraca się do rady nadzorczej o wyrażenie zgody na taką transakcję. Rada nadzorcza przed wyrażeniem zgody dokonuje oceny wpływu takiej transakcji na interes spółki. Powyższemu obowiązkowi nie podlegają transakcje typowe i zawierane na warunkach rynkowych w ramach prowadzonej działalności operacyjnej przez spółkę z podmiotami wchodzącymi w skład grupy kapitałowej spółki.</w:t>
      </w:r>
    </w:p>
    <w:p w:rsidR="00231152" w:rsidRPr="00E54F16" w:rsidRDefault="002B2AC4" w:rsidP="00ED4B9F">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sz w:val="18"/>
          <w:szCs w:val="18"/>
        </w:rPr>
        <w:t xml:space="preserve">W przypadku, gdy decyzję w sprawie zawarcia przez spółkę istotnej umowy z podmiotem powiązanym podejmuje walne zgromadzenie, przed podjęciem takiej decyzji spółka zapewnia wszystkim akcjonariuszom dostęp do informacji niezbędnych do dokonania oceny wpływu tej transakcji na interes spółki. </w:t>
      </w:r>
      <w:r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760CF6">
        <w:rPr>
          <w:rFonts w:ascii="Times New Roman" w:hAnsi="Times New Roman" w:cs="Times New Roman"/>
          <w:b/>
          <w:sz w:val="18"/>
          <w:szCs w:val="18"/>
        </w:rPr>
        <w:t xml:space="preserve">V.Z.6. </w:t>
      </w:r>
      <w:r w:rsidR="00ED4B9F" w:rsidRPr="00760CF6">
        <w:rPr>
          <w:rFonts w:ascii="Times New Roman" w:hAnsi="Times New Roman" w:cs="Times New Roman"/>
          <w:b/>
          <w:sz w:val="18"/>
          <w:szCs w:val="18"/>
        </w:rPr>
        <w:t xml:space="preserve">   </w:t>
      </w:r>
      <w:r w:rsidRPr="00760CF6">
        <w:rPr>
          <w:rFonts w:ascii="Times New Roman" w:hAnsi="Times New Roman" w:cs="Times New Roman"/>
          <w:sz w:val="18"/>
          <w:szCs w:val="18"/>
        </w:rPr>
        <w:t>Spółka określa w regulacjach wewnętrznych kryteria i okoliczności, w których może dojść w spółce do konfliktu interesów, a także zasady postępowania w obliczu konfliktu interesów lub możliwości jego zaistnienia. Regulacje wewnętrzne spółki uwzględniają między innymi sposoby zapobiegania, identyfikacji i rozwiązywania konfliktów interesów, a także zasady wyłączania członka zarządu lub rady nadzorczej od udziału w rozpatrywaniu sprawy objętej lub zagrożonej konfliktem interesów.</w:t>
      </w:r>
    </w:p>
    <w:p w:rsidR="00231152" w:rsidRPr="00E54F16" w:rsidRDefault="002B2AC4" w:rsidP="00ED4B9F">
      <w:pPr>
        <w:spacing w:after="0" w:line="240" w:lineRule="auto"/>
        <w:ind w:left="709"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jest stosowana.</w:t>
      </w:r>
    </w:p>
    <w:p w:rsidR="00231152" w:rsidRDefault="002B2AC4" w:rsidP="00ED4B9F">
      <w:pPr>
        <w:spacing w:after="0" w:line="240" w:lineRule="auto"/>
        <w:ind w:left="709" w:right="0" w:firstLine="0"/>
        <w:rPr>
          <w:rFonts w:ascii="Times New Roman" w:hAnsi="Times New Roman" w:cs="Times New Roman"/>
          <w:i/>
          <w:sz w:val="18"/>
          <w:szCs w:val="18"/>
        </w:rPr>
      </w:pPr>
      <w:r w:rsidRPr="00E54F16">
        <w:rPr>
          <w:rFonts w:ascii="Times New Roman" w:hAnsi="Times New Roman" w:cs="Times New Roman"/>
          <w:b/>
          <w:i/>
          <w:sz w:val="18"/>
          <w:szCs w:val="18"/>
        </w:rPr>
        <w:t>Komentarz spółki:</w:t>
      </w:r>
      <w:r w:rsidR="00B855AC">
        <w:rPr>
          <w:rFonts w:ascii="Times New Roman" w:hAnsi="Times New Roman" w:cs="Times New Roman"/>
          <w:b/>
          <w:i/>
          <w:sz w:val="18"/>
          <w:szCs w:val="18"/>
        </w:rPr>
        <w:t xml:space="preserve"> </w:t>
      </w:r>
      <w:r w:rsidRPr="00E54F16">
        <w:rPr>
          <w:rFonts w:ascii="Times New Roman" w:hAnsi="Times New Roman" w:cs="Times New Roman"/>
          <w:i/>
          <w:sz w:val="18"/>
          <w:szCs w:val="18"/>
        </w:rPr>
        <w:t>Spółka nie stosuje powyższej zasady. Spółka nie wyklucza jednak opracowania regulacji wewnętrznych uwzględniających między innymi sposoby zapobiegania, identyfikacji i rozwiązywania konfliktów interesów, a także zasady wyłączania Członka Zarządu lub Rady Nadzorczej od udziału w rozpatrywaniu sprawy objętej lub zagrożonej konfliktem interesów.</w:t>
      </w:r>
    </w:p>
    <w:p w:rsidR="00ED4B9F" w:rsidRDefault="00ED4B9F" w:rsidP="00ED4B9F">
      <w:pPr>
        <w:spacing w:after="0" w:line="240" w:lineRule="auto"/>
        <w:ind w:left="709" w:right="0" w:firstLine="0"/>
        <w:rPr>
          <w:rFonts w:ascii="Times New Roman" w:hAnsi="Times New Roman" w:cs="Times New Roman"/>
          <w:sz w:val="18"/>
          <w:szCs w:val="18"/>
        </w:rPr>
      </w:pPr>
    </w:p>
    <w:p w:rsidR="00F65977" w:rsidRDefault="00F65977" w:rsidP="00ED4B9F">
      <w:pPr>
        <w:spacing w:after="0" w:line="240" w:lineRule="auto"/>
        <w:ind w:left="709" w:right="0" w:firstLine="0"/>
        <w:rPr>
          <w:rFonts w:ascii="Times New Roman" w:hAnsi="Times New Roman" w:cs="Times New Roman"/>
          <w:sz w:val="18"/>
          <w:szCs w:val="18"/>
        </w:rPr>
      </w:pPr>
    </w:p>
    <w:p w:rsidR="00231152" w:rsidRPr="00424BE2" w:rsidRDefault="002B2AC4" w:rsidP="008012A8">
      <w:pPr>
        <w:pStyle w:val="Nagwek1"/>
        <w:spacing w:after="0" w:line="240" w:lineRule="auto"/>
        <w:ind w:left="709" w:hanging="709"/>
        <w:rPr>
          <w:rFonts w:ascii="Times New Roman" w:hAnsi="Times New Roman" w:cs="Times New Roman"/>
          <w:sz w:val="24"/>
          <w:szCs w:val="18"/>
        </w:rPr>
      </w:pPr>
      <w:r w:rsidRPr="00424BE2">
        <w:rPr>
          <w:rFonts w:ascii="Times New Roman" w:hAnsi="Times New Roman" w:cs="Times New Roman"/>
          <w:sz w:val="24"/>
          <w:szCs w:val="18"/>
        </w:rPr>
        <w:t>Wynagrodzenia</w:t>
      </w:r>
    </w:p>
    <w:p w:rsidR="007558E2" w:rsidRDefault="007558E2" w:rsidP="007558E2">
      <w:pPr>
        <w:spacing w:after="0" w:line="240" w:lineRule="auto"/>
        <w:ind w:left="618" w:hanging="618"/>
      </w:pPr>
    </w:p>
    <w:p w:rsidR="007558E2" w:rsidRPr="007558E2" w:rsidRDefault="007558E2" w:rsidP="007558E2">
      <w:pPr>
        <w:spacing w:after="0" w:line="240" w:lineRule="auto"/>
        <w:ind w:left="618" w:hanging="618"/>
      </w:pPr>
    </w:p>
    <w:p w:rsidR="00231152" w:rsidRDefault="002B2AC4" w:rsidP="00424BE2">
      <w:pPr>
        <w:spacing w:after="0" w:line="240" w:lineRule="auto"/>
        <w:ind w:left="0" w:right="0" w:firstLine="0"/>
        <w:rPr>
          <w:rFonts w:ascii="Times New Roman" w:hAnsi="Times New Roman" w:cs="Times New Roman"/>
          <w:b/>
          <w:sz w:val="18"/>
          <w:szCs w:val="18"/>
        </w:rPr>
      </w:pPr>
      <w:r w:rsidRPr="00E54F16">
        <w:rPr>
          <w:rFonts w:ascii="Times New Roman" w:hAnsi="Times New Roman" w:cs="Times New Roman"/>
          <w:b/>
          <w:sz w:val="18"/>
          <w:szCs w:val="18"/>
        </w:rPr>
        <w:t>Spółka posiada politykę wynagrodzeń co najmniej dla członków organów spółki i kluczowych menedżerów. Polityka wynagrodzeń określa w szczególności formę, strukturę i sposób ustalania wynagrodzeń członków organów spółki i jej kluczowych menedżerów.</w:t>
      </w:r>
    </w:p>
    <w:p w:rsidR="007558E2" w:rsidRDefault="007558E2" w:rsidP="008012A8">
      <w:pPr>
        <w:spacing w:after="0" w:line="240" w:lineRule="auto"/>
        <w:ind w:left="709" w:right="0" w:hanging="709"/>
        <w:jc w:val="left"/>
        <w:rPr>
          <w:rFonts w:ascii="Times New Roman" w:hAnsi="Times New Roman" w:cs="Times New Roman"/>
          <w:b/>
          <w:sz w:val="18"/>
          <w:szCs w:val="18"/>
        </w:rPr>
      </w:pPr>
    </w:p>
    <w:p w:rsidR="007558E2" w:rsidRPr="00E54F16" w:rsidRDefault="007558E2" w:rsidP="008012A8">
      <w:pPr>
        <w:spacing w:after="0" w:line="240" w:lineRule="auto"/>
        <w:ind w:left="709" w:right="0" w:hanging="709"/>
        <w:jc w:val="left"/>
        <w:rPr>
          <w:rFonts w:ascii="Times New Roman" w:hAnsi="Times New Roman" w:cs="Times New Roman"/>
          <w:sz w:val="18"/>
          <w:szCs w:val="18"/>
        </w:rPr>
      </w:pPr>
    </w:p>
    <w:p w:rsidR="00231152" w:rsidRPr="007558E2" w:rsidRDefault="002B2AC4" w:rsidP="008012A8">
      <w:pPr>
        <w:spacing w:after="0" w:line="240" w:lineRule="auto"/>
        <w:ind w:left="709" w:right="0" w:hanging="709"/>
        <w:jc w:val="left"/>
        <w:rPr>
          <w:rFonts w:ascii="Times New Roman" w:hAnsi="Times New Roman" w:cs="Times New Roman"/>
          <w:b/>
          <w:sz w:val="20"/>
          <w:szCs w:val="18"/>
        </w:rPr>
      </w:pPr>
      <w:r w:rsidRPr="007558E2">
        <w:rPr>
          <w:rFonts w:ascii="Times New Roman" w:hAnsi="Times New Roman" w:cs="Times New Roman"/>
          <w:b/>
          <w:sz w:val="20"/>
          <w:szCs w:val="18"/>
        </w:rPr>
        <w:t>Rekomendacje</w:t>
      </w:r>
    </w:p>
    <w:p w:rsidR="007558E2" w:rsidRPr="00E54F16" w:rsidRDefault="007558E2" w:rsidP="008012A8">
      <w:pPr>
        <w:spacing w:after="0" w:line="240" w:lineRule="auto"/>
        <w:ind w:left="709" w:right="0" w:hanging="709"/>
        <w:jc w:val="left"/>
        <w:rPr>
          <w:rFonts w:ascii="Times New Roman" w:hAnsi="Times New Roman" w:cs="Times New Roman"/>
          <w:sz w:val="18"/>
          <w:szCs w:val="18"/>
        </w:rPr>
      </w:pPr>
    </w:p>
    <w:p w:rsidR="00ED4B9F" w:rsidRDefault="002B2AC4" w:rsidP="00ED4B9F">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VI.R.1. </w:t>
      </w:r>
      <w:r w:rsidRPr="00E54F16">
        <w:rPr>
          <w:rFonts w:ascii="Times New Roman" w:hAnsi="Times New Roman" w:cs="Times New Roman"/>
          <w:sz w:val="18"/>
          <w:szCs w:val="18"/>
        </w:rPr>
        <w:t>Wynagrodzenie członków organów spółki i kluczowych menedżerów powinno wynikać z przyjętej polityki wynagrodzeń.</w:t>
      </w:r>
      <w:r w:rsidR="00ED4B9F" w:rsidRPr="00ED4B9F">
        <w:rPr>
          <w:rFonts w:ascii="Times New Roman" w:hAnsi="Times New Roman" w:cs="Times New Roman"/>
          <w:sz w:val="18"/>
          <w:szCs w:val="18"/>
        </w:rPr>
        <w:t xml:space="preserve"> </w:t>
      </w:r>
    </w:p>
    <w:p w:rsidR="00231152" w:rsidRPr="00E54F16" w:rsidRDefault="00ED4B9F" w:rsidP="00ED4B9F">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ED4B9F" w:rsidRDefault="00ED4B9F" w:rsidP="008012A8">
      <w:pPr>
        <w:spacing w:after="0" w:line="240" w:lineRule="auto"/>
        <w:ind w:left="709" w:right="0" w:hanging="709"/>
        <w:rPr>
          <w:rFonts w:ascii="Times New Roman" w:hAnsi="Times New Roman" w:cs="Times New Roman"/>
          <w:b/>
          <w:sz w:val="18"/>
          <w:szCs w:val="18"/>
        </w:rPr>
      </w:pPr>
    </w:p>
    <w:p w:rsidR="00ED4B9F" w:rsidRDefault="002B2AC4" w:rsidP="00ED4B9F">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VI.R.2. </w:t>
      </w:r>
      <w:r w:rsidR="00ED4B9F">
        <w:rPr>
          <w:rFonts w:ascii="Times New Roman" w:hAnsi="Times New Roman" w:cs="Times New Roman"/>
          <w:b/>
          <w:sz w:val="18"/>
          <w:szCs w:val="18"/>
        </w:rPr>
        <w:t xml:space="preserve"> </w:t>
      </w:r>
      <w:r w:rsidRPr="00E54F16">
        <w:rPr>
          <w:rFonts w:ascii="Times New Roman" w:hAnsi="Times New Roman" w:cs="Times New Roman"/>
          <w:sz w:val="18"/>
          <w:szCs w:val="18"/>
        </w:rPr>
        <w:t xml:space="preserve">Polityka wynagrodzeń powinna być ściśle powiązana ze strategią spółki, jej celami krótko- i długoterminowymi, długoterminowymi interesami i wynikami, a także powinna uwzględniać rozwiązania służące unikaniu dyskryminacji z jakichkolwiek przyczyn. </w:t>
      </w:r>
    </w:p>
    <w:p w:rsidR="00231152" w:rsidRPr="00E54F16" w:rsidRDefault="00ED4B9F" w:rsidP="00ED4B9F">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ED4B9F" w:rsidRDefault="00ED4B9F"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VI.R.3. </w:t>
      </w:r>
      <w:r w:rsidRPr="00E54F16">
        <w:rPr>
          <w:rFonts w:ascii="Times New Roman" w:hAnsi="Times New Roman" w:cs="Times New Roman"/>
          <w:sz w:val="18"/>
          <w:szCs w:val="18"/>
        </w:rPr>
        <w:t>Jeżeli w radzie nadzorczej funkcjonuje komitet do spraw wynagrodzeń, w zakresie jego funkcjonowania ma zastosowanie zasada II.Z.7.</w:t>
      </w:r>
    </w:p>
    <w:p w:rsidR="00231152" w:rsidRPr="00E54F16" w:rsidRDefault="002B2AC4" w:rsidP="00ED4B9F">
      <w:pPr>
        <w:spacing w:after="0" w:line="240" w:lineRule="auto"/>
        <w:ind w:left="709"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dotyczy spółki.</w:t>
      </w:r>
    </w:p>
    <w:p w:rsidR="00231152" w:rsidRPr="00E54F16" w:rsidRDefault="002B2AC4" w:rsidP="00ED4B9F">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b/>
          <w:i/>
          <w:sz w:val="18"/>
          <w:szCs w:val="18"/>
        </w:rPr>
        <w:t xml:space="preserve">Komentarz spółki: </w:t>
      </w:r>
      <w:r w:rsidRPr="00E54F16">
        <w:rPr>
          <w:rFonts w:ascii="Times New Roman" w:hAnsi="Times New Roman" w:cs="Times New Roman"/>
          <w:i/>
          <w:sz w:val="18"/>
          <w:szCs w:val="18"/>
        </w:rPr>
        <w:t>Przedmiotowa rekomendacja nie dotyczy Spółki. W ramach Rady Nadzorczej Spółki nie został powołany komitet do spraw wynagrodzeń.</w:t>
      </w:r>
    </w:p>
    <w:p w:rsidR="00ED4B9F" w:rsidRDefault="00ED4B9F" w:rsidP="008012A8">
      <w:pPr>
        <w:spacing w:after="0" w:line="240" w:lineRule="auto"/>
        <w:ind w:left="709" w:right="0" w:hanging="709"/>
        <w:rPr>
          <w:rFonts w:ascii="Times New Roman" w:hAnsi="Times New Roman" w:cs="Times New Roman"/>
          <w:b/>
          <w:sz w:val="18"/>
          <w:szCs w:val="18"/>
        </w:rPr>
      </w:pPr>
    </w:p>
    <w:p w:rsidR="00ED4B9F" w:rsidRDefault="002B2AC4" w:rsidP="00ED4B9F">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VI.R.4. </w:t>
      </w:r>
      <w:r w:rsidR="00ED4B9F">
        <w:rPr>
          <w:rFonts w:ascii="Times New Roman" w:hAnsi="Times New Roman" w:cs="Times New Roman"/>
          <w:b/>
          <w:sz w:val="18"/>
          <w:szCs w:val="18"/>
        </w:rPr>
        <w:t xml:space="preserve"> </w:t>
      </w:r>
      <w:r w:rsidRPr="00E54F16">
        <w:rPr>
          <w:rFonts w:ascii="Times New Roman" w:hAnsi="Times New Roman" w:cs="Times New Roman"/>
          <w:sz w:val="18"/>
          <w:szCs w:val="18"/>
        </w:rPr>
        <w:t>Poziom wynagrodzenia członków zarządu i rady nadzorczej oraz kluczowych menedżerów powinien być wystarczający dla pozyskania, utrzymania i motywacji osób o kompetencjach niezbędnych dla właściwego kierowania spółką i sprawowania nad nią nadzoru. Wynagrodzenie powinno być adekwatne do powierzonego poszczególnym osobom zakresu zadań i uwzględniać pełnienie dodatkowych funkcji, jak np. praca w komitetach rady nadzorczej.</w:t>
      </w:r>
      <w:r w:rsidR="00ED4B9F" w:rsidRPr="00ED4B9F">
        <w:rPr>
          <w:rFonts w:ascii="Times New Roman" w:hAnsi="Times New Roman" w:cs="Times New Roman"/>
          <w:sz w:val="18"/>
          <w:szCs w:val="18"/>
        </w:rPr>
        <w:t xml:space="preserve"> </w:t>
      </w:r>
    </w:p>
    <w:p w:rsidR="00231152" w:rsidRPr="00E54F16" w:rsidRDefault="00ED4B9F" w:rsidP="00ED4B9F">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jc w:val="left"/>
        <w:rPr>
          <w:rFonts w:ascii="Times New Roman" w:hAnsi="Times New Roman" w:cs="Times New Roman"/>
          <w:b/>
          <w:sz w:val="18"/>
          <w:szCs w:val="18"/>
        </w:rPr>
      </w:pPr>
    </w:p>
    <w:p w:rsidR="00231152" w:rsidRPr="00ED4B9F" w:rsidRDefault="002B2AC4" w:rsidP="008012A8">
      <w:pPr>
        <w:spacing w:after="0" w:line="240" w:lineRule="auto"/>
        <w:ind w:left="709" w:right="0" w:hanging="709"/>
        <w:jc w:val="left"/>
        <w:rPr>
          <w:rFonts w:ascii="Times New Roman" w:hAnsi="Times New Roman" w:cs="Times New Roman"/>
          <w:sz w:val="20"/>
          <w:szCs w:val="18"/>
        </w:rPr>
      </w:pPr>
      <w:r w:rsidRPr="00ED4B9F">
        <w:rPr>
          <w:rFonts w:ascii="Times New Roman" w:hAnsi="Times New Roman" w:cs="Times New Roman"/>
          <w:b/>
          <w:sz w:val="20"/>
          <w:szCs w:val="18"/>
        </w:rPr>
        <w:t>Zasady szczegółowe</w:t>
      </w:r>
    </w:p>
    <w:p w:rsidR="00424BE2" w:rsidRDefault="00424BE2" w:rsidP="008012A8">
      <w:pPr>
        <w:spacing w:after="0" w:line="240" w:lineRule="auto"/>
        <w:ind w:left="709" w:right="0" w:hanging="709"/>
        <w:rPr>
          <w:rFonts w:ascii="Times New Roman" w:hAnsi="Times New Roman" w:cs="Times New Roman"/>
          <w:b/>
          <w:sz w:val="18"/>
          <w:szCs w:val="18"/>
        </w:rPr>
      </w:pPr>
    </w:p>
    <w:p w:rsidR="00ED4B9F" w:rsidRDefault="002B2AC4" w:rsidP="00ED4B9F">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VI.Z.1. </w:t>
      </w:r>
      <w:r w:rsidR="003A5662">
        <w:rPr>
          <w:rFonts w:ascii="Times New Roman" w:hAnsi="Times New Roman" w:cs="Times New Roman"/>
          <w:b/>
          <w:sz w:val="18"/>
          <w:szCs w:val="18"/>
        </w:rPr>
        <w:t xml:space="preserve"> </w:t>
      </w:r>
      <w:r w:rsidRPr="00E54F16">
        <w:rPr>
          <w:rFonts w:ascii="Times New Roman" w:hAnsi="Times New Roman" w:cs="Times New Roman"/>
          <w:sz w:val="18"/>
          <w:szCs w:val="18"/>
        </w:rPr>
        <w:t xml:space="preserve">Programy motywacyjne powinny być tak skonstruowane, by między innymi uzależniać poziom wynagrodzenia </w:t>
      </w:r>
      <w:r w:rsidR="00ED4B9F">
        <w:rPr>
          <w:rFonts w:ascii="Times New Roman" w:hAnsi="Times New Roman" w:cs="Times New Roman"/>
          <w:sz w:val="18"/>
          <w:szCs w:val="18"/>
        </w:rPr>
        <w:t xml:space="preserve"> </w:t>
      </w:r>
      <w:r w:rsidRPr="00E54F16">
        <w:rPr>
          <w:rFonts w:ascii="Times New Roman" w:hAnsi="Times New Roman" w:cs="Times New Roman"/>
          <w:sz w:val="18"/>
          <w:szCs w:val="18"/>
        </w:rPr>
        <w:t xml:space="preserve">członków zarządu spółki i jej kluczowych menedżerów od rzeczywistej, długoterminowej sytuacji finansowej spółki oraz długoterminowego wzrostu wartości dla akcjonariuszy i stabilności funkcjonowania przedsiębiorstwa. </w:t>
      </w:r>
    </w:p>
    <w:p w:rsidR="00231152" w:rsidRPr="00E54F16" w:rsidRDefault="00ED4B9F" w:rsidP="00ED4B9F">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VI.Z.2. </w:t>
      </w:r>
      <w:r w:rsidR="00206F77">
        <w:rPr>
          <w:rFonts w:ascii="Times New Roman" w:hAnsi="Times New Roman" w:cs="Times New Roman"/>
          <w:b/>
          <w:sz w:val="18"/>
          <w:szCs w:val="18"/>
        </w:rPr>
        <w:tab/>
      </w:r>
      <w:r w:rsidRPr="00E54F16">
        <w:rPr>
          <w:rFonts w:ascii="Times New Roman" w:hAnsi="Times New Roman" w:cs="Times New Roman"/>
          <w:sz w:val="18"/>
          <w:szCs w:val="18"/>
        </w:rPr>
        <w:t>Aby powiązać wynagrodzenie członków zarządu i kluczowych menedżerów z długookresowymi celami biznesowymi i finansowymi spółki, okres pomiędzy przyznaniem w ramach programu motywacyjnego opcji lub innych instrumentów powiązanych z akcjami spółki, a możliwością ich realizacji powinien wynosić minimum 2 lata.</w:t>
      </w:r>
    </w:p>
    <w:p w:rsidR="00231152" w:rsidRPr="00E54F16" w:rsidRDefault="002B2AC4" w:rsidP="00ED4B9F">
      <w:pPr>
        <w:spacing w:after="0" w:line="240" w:lineRule="auto"/>
        <w:ind w:left="709"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dotyczy spółki.</w:t>
      </w:r>
    </w:p>
    <w:p w:rsidR="00231152" w:rsidRPr="00E54F16" w:rsidRDefault="002B2AC4" w:rsidP="00ED4B9F">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b/>
          <w:i/>
          <w:sz w:val="18"/>
          <w:szCs w:val="18"/>
        </w:rPr>
        <w:t xml:space="preserve">Komentarz spółki: </w:t>
      </w:r>
      <w:r w:rsidRPr="00E54F16">
        <w:rPr>
          <w:rFonts w:ascii="Times New Roman" w:hAnsi="Times New Roman" w:cs="Times New Roman"/>
          <w:i/>
          <w:sz w:val="18"/>
          <w:szCs w:val="18"/>
        </w:rPr>
        <w:t>Wskazana zasada nie dotyczy Spółki. W Spółce nie funkcjonuje program motywacyjny oparty na opcjach lub innych instrumentach powiązanych z akcjami Spółki.</w:t>
      </w:r>
    </w:p>
    <w:p w:rsidR="00424BE2" w:rsidRDefault="00424BE2" w:rsidP="00ED4B9F">
      <w:pPr>
        <w:spacing w:after="0" w:line="240" w:lineRule="auto"/>
        <w:ind w:left="709" w:right="0" w:firstLine="0"/>
        <w:rPr>
          <w:rFonts w:ascii="Times New Roman" w:hAnsi="Times New Roman" w:cs="Times New Roman"/>
          <w:b/>
          <w:sz w:val="18"/>
          <w:szCs w:val="18"/>
        </w:rPr>
      </w:pPr>
    </w:p>
    <w:p w:rsidR="00ED4B9F" w:rsidRDefault="002B2AC4" w:rsidP="00ED4B9F">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VI.Z.3. </w:t>
      </w:r>
      <w:r w:rsidR="00206F77">
        <w:rPr>
          <w:rFonts w:ascii="Times New Roman" w:hAnsi="Times New Roman" w:cs="Times New Roman"/>
          <w:b/>
          <w:sz w:val="18"/>
          <w:szCs w:val="18"/>
        </w:rPr>
        <w:tab/>
      </w:r>
      <w:r w:rsidRPr="00E54F16">
        <w:rPr>
          <w:rFonts w:ascii="Times New Roman" w:hAnsi="Times New Roman" w:cs="Times New Roman"/>
          <w:sz w:val="18"/>
          <w:szCs w:val="18"/>
        </w:rPr>
        <w:t xml:space="preserve">Wynagrodzenie członków rady nadzorczej nie powinno być uzależnione od opcji i innych instrumentów pochodnych, ani jakichkolwiek innych zmiennych składników, oraz nie powinno być uzależnione od wyników spółki. </w:t>
      </w:r>
    </w:p>
    <w:p w:rsidR="00231152" w:rsidRPr="00E54F16" w:rsidRDefault="00ED4B9F" w:rsidP="00ED4B9F">
      <w:pPr>
        <w:spacing w:after="0" w:line="240" w:lineRule="auto"/>
        <w:ind w:left="709" w:right="0" w:hanging="709"/>
        <w:rPr>
          <w:rFonts w:ascii="Times New Roman" w:hAnsi="Times New Roman" w:cs="Times New Roman"/>
          <w:sz w:val="18"/>
          <w:szCs w:val="18"/>
        </w:rPr>
      </w:pPr>
      <w:r>
        <w:rPr>
          <w:rFonts w:ascii="Times New Roman" w:hAnsi="Times New Roman" w:cs="Times New Roman"/>
          <w:b/>
          <w:sz w:val="18"/>
          <w:szCs w:val="18"/>
        </w:rPr>
        <w:t xml:space="preserve">               </w:t>
      </w:r>
      <w:r w:rsidRPr="00E54F16">
        <w:rPr>
          <w:rFonts w:ascii="Times New Roman" w:hAnsi="Times New Roman" w:cs="Times New Roman"/>
          <w:sz w:val="18"/>
          <w:szCs w:val="18"/>
        </w:rPr>
        <w:t xml:space="preserve"> </w:t>
      </w:r>
      <w:r w:rsidR="002B2AC4" w:rsidRPr="00E54F16">
        <w:rPr>
          <w:rFonts w:ascii="Times New Roman" w:hAnsi="Times New Roman" w:cs="Times New Roman"/>
          <w:i/>
          <w:sz w:val="18"/>
          <w:szCs w:val="18"/>
          <w:u w:val="single" w:color="000000"/>
        </w:rPr>
        <w:t>Zasada jest stosowana.</w:t>
      </w:r>
    </w:p>
    <w:p w:rsidR="00424BE2" w:rsidRDefault="00424BE2" w:rsidP="008012A8">
      <w:pPr>
        <w:spacing w:after="0" w:line="240" w:lineRule="auto"/>
        <w:ind w:left="709" w:right="0" w:hanging="709"/>
        <w:rPr>
          <w:rFonts w:ascii="Times New Roman" w:hAnsi="Times New Roman" w:cs="Times New Roman"/>
          <w:b/>
          <w:sz w:val="18"/>
          <w:szCs w:val="18"/>
        </w:rPr>
      </w:pPr>
    </w:p>
    <w:p w:rsidR="00231152" w:rsidRPr="00E54F16" w:rsidRDefault="002B2AC4" w:rsidP="008012A8">
      <w:pPr>
        <w:spacing w:after="0" w:line="240" w:lineRule="auto"/>
        <w:ind w:left="709" w:right="0" w:hanging="709"/>
        <w:rPr>
          <w:rFonts w:ascii="Times New Roman" w:hAnsi="Times New Roman" w:cs="Times New Roman"/>
          <w:sz w:val="18"/>
          <w:szCs w:val="18"/>
        </w:rPr>
      </w:pPr>
      <w:r w:rsidRPr="00E54F16">
        <w:rPr>
          <w:rFonts w:ascii="Times New Roman" w:hAnsi="Times New Roman" w:cs="Times New Roman"/>
          <w:b/>
          <w:sz w:val="18"/>
          <w:szCs w:val="18"/>
        </w:rPr>
        <w:t xml:space="preserve">VI.Z.4. </w:t>
      </w:r>
      <w:r w:rsidR="00ED4B9F">
        <w:rPr>
          <w:rFonts w:ascii="Times New Roman" w:hAnsi="Times New Roman" w:cs="Times New Roman"/>
          <w:b/>
          <w:sz w:val="18"/>
          <w:szCs w:val="18"/>
        </w:rPr>
        <w:t xml:space="preserve">   </w:t>
      </w:r>
      <w:r w:rsidRPr="00E54F16">
        <w:rPr>
          <w:rFonts w:ascii="Times New Roman" w:hAnsi="Times New Roman" w:cs="Times New Roman"/>
          <w:sz w:val="18"/>
          <w:szCs w:val="18"/>
        </w:rPr>
        <w:t>Spółka w sprawozdaniu z działalności przedstawia raport na temat polityki wynagrodzeń, zawierający co najmniej:</w:t>
      </w:r>
    </w:p>
    <w:p w:rsidR="00231152" w:rsidRPr="00E54F16" w:rsidRDefault="002B2AC4" w:rsidP="009C0D53">
      <w:pPr>
        <w:numPr>
          <w:ilvl w:val="0"/>
          <w:numId w:val="3"/>
        </w:numPr>
        <w:spacing w:after="0" w:line="240" w:lineRule="auto"/>
        <w:ind w:left="1276" w:right="0" w:hanging="284"/>
        <w:rPr>
          <w:rFonts w:ascii="Times New Roman" w:hAnsi="Times New Roman" w:cs="Times New Roman"/>
          <w:sz w:val="18"/>
          <w:szCs w:val="18"/>
        </w:rPr>
      </w:pPr>
      <w:r w:rsidRPr="00E54F16">
        <w:rPr>
          <w:rFonts w:ascii="Times New Roman" w:hAnsi="Times New Roman" w:cs="Times New Roman"/>
          <w:sz w:val="18"/>
          <w:szCs w:val="18"/>
        </w:rPr>
        <w:t>ogólną informację na temat przyjętego w spółce systemu wynagrodzeń,</w:t>
      </w:r>
    </w:p>
    <w:p w:rsidR="00231152" w:rsidRPr="00E54F16" w:rsidRDefault="002B2AC4" w:rsidP="009C0D53">
      <w:pPr>
        <w:numPr>
          <w:ilvl w:val="0"/>
          <w:numId w:val="3"/>
        </w:numPr>
        <w:spacing w:after="0" w:line="240" w:lineRule="auto"/>
        <w:ind w:left="1276" w:right="0" w:hanging="284"/>
        <w:rPr>
          <w:rFonts w:ascii="Times New Roman" w:hAnsi="Times New Roman" w:cs="Times New Roman"/>
          <w:sz w:val="18"/>
          <w:szCs w:val="18"/>
        </w:rPr>
      </w:pPr>
      <w:r w:rsidRPr="00E54F16">
        <w:rPr>
          <w:rFonts w:ascii="Times New Roman" w:hAnsi="Times New Roman" w:cs="Times New Roman"/>
          <w:sz w:val="18"/>
          <w:szCs w:val="18"/>
        </w:rPr>
        <w:t>informacje na temat warunków i wysokości wynagrodzenia każdego z członków zarządu, w podziale na</w:t>
      </w:r>
      <w:r w:rsidR="00ED4B9F">
        <w:rPr>
          <w:rFonts w:ascii="Times New Roman" w:hAnsi="Times New Roman" w:cs="Times New Roman"/>
          <w:sz w:val="18"/>
          <w:szCs w:val="18"/>
        </w:rPr>
        <w:t xml:space="preserve"> </w:t>
      </w:r>
      <w:r w:rsidRPr="00E54F16">
        <w:rPr>
          <w:rFonts w:ascii="Times New Roman" w:hAnsi="Times New Roman" w:cs="Times New Roman"/>
          <w:sz w:val="18"/>
          <w:szCs w:val="18"/>
        </w:rPr>
        <w:t>stałe i zmienne składniki wynagrodzenia, ze wskazaniem kluczowych parametrów ustalania zmiennych składników wynagrodzenia i zasad wypłaty odpraw oraz innych płatności z tytułu rozwiązania stosunku pracy, zlecenia lub innego stosunku prawnego o podobnym charakterze – oddzielnie dla spółki i każdej jednostki wchodzącej w skład grupy kapitałowej,</w:t>
      </w:r>
    </w:p>
    <w:p w:rsidR="00231152" w:rsidRPr="00E54F16" w:rsidRDefault="002B2AC4" w:rsidP="009C0D53">
      <w:pPr>
        <w:numPr>
          <w:ilvl w:val="0"/>
          <w:numId w:val="3"/>
        </w:numPr>
        <w:spacing w:after="0" w:line="240" w:lineRule="auto"/>
        <w:ind w:left="1276" w:right="0" w:hanging="284"/>
        <w:rPr>
          <w:rFonts w:ascii="Times New Roman" w:hAnsi="Times New Roman" w:cs="Times New Roman"/>
          <w:sz w:val="18"/>
          <w:szCs w:val="18"/>
        </w:rPr>
      </w:pPr>
      <w:r w:rsidRPr="00E54F16">
        <w:rPr>
          <w:rFonts w:ascii="Times New Roman" w:hAnsi="Times New Roman" w:cs="Times New Roman"/>
          <w:sz w:val="18"/>
          <w:szCs w:val="18"/>
        </w:rPr>
        <w:t>informacje na temat przysługujących poszczególnym członkom zarządu i kluczowym menedżerom</w:t>
      </w:r>
      <w:r w:rsidR="00ED4B9F">
        <w:rPr>
          <w:rFonts w:ascii="Times New Roman" w:hAnsi="Times New Roman" w:cs="Times New Roman"/>
          <w:sz w:val="18"/>
          <w:szCs w:val="18"/>
        </w:rPr>
        <w:t xml:space="preserve"> </w:t>
      </w:r>
      <w:r w:rsidRPr="00E54F16">
        <w:rPr>
          <w:rFonts w:ascii="Times New Roman" w:hAnsi="Times New Roman" w:cs="Times New Roman"/>
          <w:sz w:val="18"/>
          <w:szCs w:val="18"/>
        </w:rPr>
        <w:t>pozafinansowych składników wynagrodzenia,</w:t>
      </w:r>
    </w:p>
    <w:p w:rsidR="00231152" w:rsidRPr="00E54F16" w:rsidRDefault="002B2AC4" w:rsidP="009C0D53">
      <w:pPr>
        <w:numPr>
          <w:ilvl w:val="0"/>
          <w:numId w:val="3"/>
        </w:numPr>
        <w:spacing w:after="0" w:line="240" w:lineRule="auto"/>
        <w:ind w:left="1276" w:right="0" w:hanging="284"/>
        <w:rPr>
          <w:rFonts w:ascii="Times New Roman" w:hAnsi="Times New Roman" w:cs="Times New Roman"/>
          <w:sz w:val="18"/>
          <w:szCs w:val="18"/>
        </w:rPr>
      </w:pPr>
      <w:r w:rsidRPr="00E54F16">
        <w:rPr>
          <w:rFonts w:ascii="Times New Roman" w:hAnsi="Times New Roman" w:cs="Times New Roman"/>
          <w:sz w:val="18"/>
          <w:szCs w:val="18"/>
        </w:rPr>
        <w:t xml:space="preserve">wskazanie istotnych zmian, które w ciągu ostatniego roku obrotowego nastąpiły w polityce </w:t>
      </w:r>
      <w:r w:rsidR="00ED4B9F" w:rsidRPr="00E54F16">
        <w:rPr>
          <w:rFonts w:ascii="Times New Roman" w:hAnsi="Times New Roman" w:cs="Times New Roman"/>
          <w:sz w:val="18"/>
          <w:szCs w:val="18"/>
        </w:rPr>
        <w:t>wynagrodzeń lub</w:t>
      </w:r>
      <w:r w:rsidRPr="00E54F16">
        <w:rPr>
          <w:rFonts w:ascii="Times New Roman" w:hAnsi="Times New Roman" w:cs="Times New Roman"/>
          <w:sz w:val="18"/>
          <w:szCs w:val="18"/>
        </w:rPr>
        <w:t xml:space="preserve"> informację o ich braku,</w:t>
      </w:r>
    </w:p>
    <w:p w:rsidR="00231152" w:rsidRPr="00E54F16" w:rsidRDefault="002B2AC4" w:rsidP="009C0D53">
      <w:pPr>
        <w:numPr>
          <w:ilvl w:val="0"/>
          <w:numId w:val="3"/>
        </w:numPr>
        <w:spacing w:after="0" w:line="240" w:lineRule="auto"/>
        <w:ind w:left="1276" w:right="0" w:hanging="284"/>
        <w:rPr>
          <w:rFonts w:ascii="Times New Roman" w:hAnsi="Times New Roman" w:cs="Times New Roman"/>
          <w:sz w:val="18"/>
          <w:szCs w:val="18"/>
        </w:rPr>
      </w:pPr>
      <w:r w:rsidRPr="00E54F16">
        <w:rPr>
          <w:rFonts w:ascii="Times New Roman" w:hAnsi="Times New Roman" w:cs="Times New Roman"/>
          <w:sz w:val="18"/>
          <w:szCs w:val="18"/>
        </w:rPr>
        <w:t>ocenę funkcjonowania polityki wynagrodzeń z punktu widzenia realizacji jej celów, w szczególności</w:t>
      </w:r>
      <w:r w:rsidR="00ED4B9F">
        <w:rPr>
          <w:rFonts w:ascii="Times New Roman" w:hAnsi="Times New Roman" w:cs="Times New Roman"/>
          <w:sz w:val="18"/>
          <w:szCs w:val="18"/>
        </w:rPr>
        <w:t xml:space="preserve"> </w:t>
      </w:r>
      <w:r w:rsidRPr="00E54F16">
        <w:rPr>
          <w:rFonts w:ascii="Times New Roman" w:hAnsi="Times New Roman" w:cs="Times New Roman"/>
          <w:sz w:val="18"/>
          <w:szCs w:val="18"/>
        </w:rPr>
        <w:t>długoterminowego wzrostu wartości dla akcjonariuszy i stabilności funkcjonowania przedsiębiorstwa.</w:t>
      </w:r>
    </w:p>
    <w:p w:rsidR="00231152" w:rsidRPr="00E54F16" w:rsidRDefault="002B2AC4" w:rsidP="009C0D53">
      <w:pPr>
        <w:spacing w:after="0" w:line="240" w:lineRule="auto"/>
        <w:ind w:left="709" w:right="0" w:firstLine="0"/>
        <w:jc w:val="left"/>
        <w:rPr>
          <w:rFonts w:ascii="Times New Roman" w:hAnsi="Times New Roman" w:cs="Times New Roman"/>
          <w:sz w:val="18"/>
          <w:szCs w:val="18"/>
        </w:rPr>
      </w:pPr>
      <w:r w:rsidRPr="00E54F16">
        <w:rPr>
          <w:rFonts w:ascii="Times New Roman" w:hAnsi="Times New Roman" w:cs="Times New Roman"/>
          <w:i/>
          <w:sz w:val="18"/>
          <w:szCs w:val="18"/>
          <w:u w:val="single" w:color="000000"/>
        </w:rPr>
        <w:t>Zasada nie jest stosowana.</w:t>
      </w:r>
    </w:p>
    <w:p w:rsidR="00231152" w:rsidRPr="00E54F16" w:rsidRDefault="002B2AC4" w:rsidP="009C0D53">
      <w:pPr>
        <w:spacing w:after="0" w:line="240" w:lineRule="auto"/>
        <w:ind w:left="709" w:right="0" w:firstLine="0"/>
        <w:rPr>
          <w:rFonts w:ascii="Times New Roman" w:hAnsi="Times New Roman" w:cs="Times New Roman"/>
          <w:sz w:val="18"/>
          <w:szCs w:val="18"/>
        </w:rPr>
      </w:pPr>
      <w:r w:rsidRPr="00E54F16">
        <w:rPr>
          <w:rFonts w:ascii="Times New Roman" w:hAnsi="Times New Roman" w:cs="Times New Roman"/>
          <w:b/>
          <w:i/>
          <w:sz w:val="18"/>
          <w:szCs w:val="18"/>
        </w:rPr>
        <w:t xml:space="preserve">Komentarz spółki: </w:t>
      </w:r>
      <w:r w:rsidRPr="00E54F16">
        <w:rPr>
          <w:rFonts w:ascii="Times New Roman" w:hAnsi="Times New Roman" w:cs="Times New Roman"/>
          <w:i/>
          <w:sz w:val="18"/>
          <w:szCs w:val="18"/>
        </w:rPr>
        <w:t>Spółka nie stosuje powyższej zasady. Spółka w sprawozdaniu z działalności przedstawia informacje dotyczące wynagrodzeń w zakresie przewidzianym obowiązującymi przepisami prawa. W związku z tym zawarta w sprawozdaniu z działalności informacja zawiera jedynie niektóre dane wskazane w powyższej zasadzie.</w:t>
      </w:r>
    </w:p>
    <w:sectPr w:rsidR="00231152" w:rsidRPr="00E54F16" w:rsidSect="00A929E8">
      <w:pgSz w:w="11906" w:h="16838"/>
      <w:pgMar w:top="1417" w:right="1417" w:bottom="1417" w:left="1417" w:header="708" w:footer="708"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02"/>
    <w:multiLevelType w:val="hybridMultilevel"/>
    <w:tmpl w:val="8F9616C6"/>
    <w:lvl w:ilvl="0" w:tplc="03D8B1F4">
      <w:start w:val="1"/>
      <w:numFmt w:val="upperRoman"/>
      <w:pStyle w:val="Nagwek1"/>
      <w:lvlText w:val="%1."/>
      <w:lvlJc w:val="left"/>
      <w:pPr>
        <w:ind w:left="0"/>
      </w:pPr>
      <w:rPr>
        <w:rFonts w:ascii="Times New Roman" w:eastAsia="Calibri" w:hAnsi="Times New Roman" w:cs="Times New Roman" w:hint="default"/>
        <w:b/>
        <w:bCs/>
        <w:i w:val="0"/>
        <w:strike w:val="0"/>
        <w:dstrike w:val="0"/>
        <w:color w:val="000000"/>
        <w:sz w:val="24"/>
        <w:szCs w:val="18"/>
        <w:u w:val="none" w:color="000000"/>
        <w:bdr w:val="none" w:sz="0" w:space="0" w:color="auto"/>
        <w:shd w:val="clear" w:color="auto" w:fill="auto"/>
        <w:vertAlign w:val="baseline"/>
      </w:rPr>
    </w:lvl>
    <w:lvl w:ilvl="1" w:tplc="B8A64CDA">
      <w:start w:val="1"/>
      <w:numFmt w:val="lowerLetter"/>
      <w:lvlText w:val="%2"/>
      <w:lvlJc w:val="left"/>
      <w:pPr>
        <w:ind w:left="109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AD00B86">
      <w:start w:val="1"/>
      <w:numFmt w:val="lowerRoman"/>
      <w:lvlText w:val="%3"/>
      <w:lvlJc w:val="left"/>
      <w:pPr>
        <w:ind w:left="181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A1048A0">
      <w:start w:val="1"/>
      <w:numFmt w:val="decimal"/>
      <w:lvlText w:val="%4"/>
      <w:lvlJc w:val="left"/>
      <w:pPr>
        <w:ind w:left="253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242DB36">
      <w:start w:val="1"/>
      <w:numFmt w:val="lowerLetter"/>
      <w:lvlText w:val="%5"/>
      <w:lvlJc w:val="left"/>
      <w:pPr>
        <w:ind w:left="325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20B663C2">
      <w:start w:val="1"/>
      <w:numFmt w:val="lowerRoman"/>
      <w:lvlText w:val="%6"/>
      <w:lvlJc w:val="left"/>
      <w:pPr>
        <w:ind w:left="397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2B634BC">
      <w:start w:val="1"/>
      <w:numFmt w:val="decimal"/>
      <w:lvlText w:val="%7"/>
      <w:lvlJc w:val="left"/>
      <w:pPr>
        <w:ind w:left="469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FE2E6B8">
      <w:start w:val="1"/>
      <w:numFmt w:val="lowerLetter"/>
      <w:lvlText w:val="%8"/>
      <w:lvlJc w:val="left"/>
      <w:pPr>
        <w:ind w:left="541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CA3256B2">
      <w:start w:val="1"/>
      <w:numFmt w:val="lowerRoman"/>
      <w:lvlText w:val="%9"/>
      <w:lvlJc w:val="left"/>
      <w:pPr>
        <w:ind w:left="613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nsid w:val="11842E56"/>
    <w:multiLevelType w:val="hybridMultilevel"/>
    <w:tmpl w:val="89343B04"/>
    <w:lvl w:ilvl="0" w:tplc="6AA819D4">
      <w:start w:val="1"/>
      <w:numFmt w:val="bullet"/>
      <w:lvlText w:val="-"/>
      <w:lvlJc w:val="left"/>
      <w:pPr>
        <w:ind w:left="190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AFE7026">
      <w:start w:val="1"/>
      <w:numFmt w:val="bullet"/>
      <w:lvlText w:val="o"/>
      <w:lvlJc w:val="left"/>
      <w:pPr>
        <w:ind w:left="298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0129818">
      <w:start w:val="1"/>
      <w:numFmt w:val="bullet"/>
      <w:lvlText w:val="▪"/>
      <w:lvlJc w:val="left"/>
      <w:pPr>
        <w:ind w:left="370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B1E75A6">
      <w:start w:val="1"/>
      <w:numFmt w:val="bullet"/>
      <w:lvlText w:val="•"/>
      <w:lvlJc w:val="left"/>
      <w:pPr>
        <w:ind w:left="442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AF4D080">
      <w:start w:val="1"/>
      <w:numFmt w:val="bullet"/>
      <w:lvlText w:val="o"/>
      <w:lvlJc w:val="left"/>
      <w:pPr>
        <w:ind w:left="514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8E2C5EC">
      <w:start w:val="1"/>
      <w:numFmt w:val="bullet"/>
      <w:lvlText w:val="▪"/>
      <w:lvlJc w:val="left"/>
      <w:pPr>
        <w:ind w:left="586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FE27A3C">
      <w:start w:val="1"/>
      <w:numFmt w:val="bullet"/>
      <w:lvlText w:val="•"/>
      <w:lvlJc w:val="left"/>
      <w:pPr>
        <w:ind w:left="658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0FA7716">
      <w:start w:val="1"/>
      <w:numFmt w:val="bullet"/>
      <w:lvlText w:val="o"/>
      <w:lvlJc w:val="left"/>
      <w:pPr>
        <w:ind w:left="730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F464092">
      <w:start w:val="1"/>
      <w:numFmt w:val="bullet"/>
      <w:lvlText w:val="▪"/>
      <w:lvlJc w:val="left"/>
      <w:pPr>
        <w:ind w:left="802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nsid w:val="366628C7"/>
    <w:multiLevelType w:val="hybridMultilevel"/>
    <w:tmpl w:val="34E80368"/>
    <w:lvl w:ilvl="0" w:tplc="23F8665A">
      <w:start w:val="1"/>
      <w:numFmt w:val="decimal"/>
      <w:lvlText w:val="%1)"/>
      <w:lvlJc w:val="left"/>
      <w:pPr>
        <w:ind w:left="1207"/>
      </w:pPr>
      <w:rPr>
        <w:rFonts w:ascii="Times New Roman" w:eastAsia="Calibri" w:hAnsi="Times New Roman" w:cs="Times New Roman" w:hint="default"/>
        <w:b w:val="0"/>
        <w:i w:val="0"/>
        <w:strike w:val="0"/>
        <w:dstrike w:val="0"/>
        <w:color w:val="000000"/>
        <w:sz w:val="18"/>
        <w:szCs w:val="15"/>
        <w:u w:val="none" w:color="000000"/>
        <w:bdr w:val="none" w:sz="0" w:space="0" w:color="auto"/>
        <w:shd w:val="clear" w:color="auto" w:fill="auto"/>
        <w:vertAlign w:val="baseline"/>
      </w:rPr>
    </w:lvl>
    <w:lvl w:ilvl="1" w:tplc="A3382410">
      <w:start w:val="1"/>
      <w:numFmt w:val="lowerLetter"/>
      <w:lvlText w:val="%2"/>
      <w:lvlJc w:val="left"/>
      <w:pPr>
        <w:ind w:left="22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6ECE714">
      <w:start w:val="1"/>
      <w:numFmt w:val="lowerRoman"/>
      <w:lvlText w:val="%3"/>
      <w:lvlJc w:val="left"/>
      <w:pPr>
        <w:ind w:left="30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F50D5D6">
      <w:start w:val="1"/>
      <w:numFmt w:val="decimal"/>
      <w:lvlText w:val="%4"/>
      <w:lvlJc w:val="left"/>
      <w:pPr>
        <w:ind w:left="37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00287D64">
      <w:start w:val="1"/>
      <w:numFmt w:val="lowerLetter"/>
      <w:lvlText w:val="%5"/>
      <w:lvlJc w:val="left"/>
      <w:pPr>
        <w:ind w:left="44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EC8406A">
      <w:start w:val="1"/>
      <w:numFmt w:val="lowerRoman"/>
      <w:lvlText w:val="%6"/>
      <w:lvlJc w:val="left"/>
      <w:pPr>
        <w:ind w:left="51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3DABF3E">
      <w:start w:val="1"/>
      <w:numFmt w:val="decimal"/>
      <w:lvlText w:val="%7"/>
      <w:lvlJc w:val="left"/>
      <w:pPr>
        <w:ind w:left="58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0E22694">
      <w:start w:val="1"/>
      <w:numFmt w:val="lowerLetter"/>
      <w:lvlText w:val="%8"/>
      <w:lvlJc w:val="left"/>
      <w:pPr>
        <w:ind w:left="66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C76DADA">
      <w:start w:val="1"/>
      <w:numFmt w:val="lowerRoman"/>
      <w:lvlText w:val="%9"/>
      <w:lvlJc w:val="left"/>
      <w:pPr>
        <w:ind w:left="73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nsid w:val="4ECC2B76"/>
    <w:multiLevelType w:val="hybridMultilevel"/>
    <w:tmpl w:val="E084E64A"/>
    <w:lvl w:ilvl="0" w:tplc="64EE5942">
      <w:start w:val="1"/>
      <w:numFmt w:val="decimal"/>
      <w:lvlText w:val="%1)"/>
      <w:lvlJc w:val="left"/>
      <w:pPr>
        <w:ind w:left="1207"/>
      </w:pPr>
      <w:rPr>
        <w:rFonts w:ascii="Times New Roman" w:eastAsia="Calibri"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C630CAAE">
      <w:start w:val="1"/>
      <w:numFmt w:val="lowerLetter"/>
      <w:lvlText w:val="%2"/>
      <w:lvlJc w:val="left"/>
      <w:pPr>
        <w:ind w:left="22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2F0B52A">
      <w:start w:val="1"/>
      <w:numFmt w:val="lowerRoman"/>
      <w:lvlText w:val="%3"/>
      <w:lvlJc w:val="left"/>
      <w:pPr>
        <w:ind w:left="30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044F562">
      <w:start w:val="1"/>
      <w:numFmt w:val="decimal"/>
      <w:lvlText w:val="%4"/>
      <w:lvlJc w:val="left"/>
      <w:pPr>
        <w:ind w:left="37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320AA22">
      <w:start w:val="1"/>
      <w:numFmt w:val="lowerLetter"/>
      <w:lvlText w:val="%5"/>
      <w:lvlJc w:val="left"/>
      <w:pPr>
        <w:ind w:left="44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DA47008">
      <w:start w:val="1"/>
      <w:numFmt w:val="lowerRoman"/>
      <w:lvlText w:val="%6"/>
      <w:lvlJc w:val="left"/>
      <w:pPr>
        <w:ind w:left="51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046BA22">
      <w:start w:val="1"/>
      <w:numFmt w:val="decimal"/>
      <w:lvlText w:val="%7"/>
      <w:lvlJc w:val="left"/>
      <w:pPr>
        <w:ind w:left="58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416933E">
      <w:start w:val="1"/>
      <w:numFmt w:val="lowerLetter"/>
      <w:lvlText w:val="%8"/>
      <w:lvlJc w:val="left"/>
      <w:pPr>
        <w:ind w:left="66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6460C24">
      <w:start w:val="1"/>
      <w:numFmt w:val="lowerRoman"/>
      <w:lvlText w:val="%9"/>
      <w:lvlJc w:val="left"/>
      <w:pPr>
        <w:ind w:left="73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FW">
    <w15:presenceInfo w15:providerId="None" w15:userId="MFW"/>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52"/>
    <w:rsid w:val="00004E59"/>
    <w:rsid w:val="00006998"/>
    <w:rsid w:val="000534E7"/>
    <w:rsid w:val="000A36E1"/>
    <w:rsid w:val="000F5302"/>
    <w:rsid w:val="00131974"/>
    <w:rsid w:val="00132012"/>
    <w:rsid w:val="00196807"/>
    <w:rsid w:val="001C04E8"/>
    <w:rsid w:val="001D6635"/>
    <w:rsid w:val="00206F77"/>
    <w:rsid w:val="0022714E"/>
    <w:rsid w:val="00231152"/>
    <w:rsid w:val="00253D5F"/>
    <w:rsid w:val="00257096"/>
    <w:rsid w:val="002A3375"/>
    <w:rsid w:val="002B2AC4"/>
    <w:rsid w:val="002C1E31"/>
    <w:rsid w:val="00302903"/>
    <w:rsid w:val="00373E6D"/>
    <w:rsid w:val="003A5662"/>
    <w:rsid w:val="00422053"/>
    <w:rsid w:val="00424BE2"/>
    <w:rsid w:val="00465AD8"/>
    <w:rsid w:val="00492EB9"/>
    <w:rsid w:val="00500CFA"/>
    <w:rsid w:val="0050693E"/>
    <w:rsid w:val="0052778E"/>
    <w:rsid w:val="0055494B"/>
    <w:rsid w:val="006452A6"/>
    <w:rsid w:val="007558E2"/>
    <w:rsid w:val="00756462"/>
    <w:rsid w:val="00760CF6"/>
    <w:rsid w:val="007D2F3D"/>
    <w:rsid w:val="008012A8"/>
    <w:rsid w:val="00806AB3"/>
    <w:rsid w:val="008625F3"/>
    <w:rsid w:val="00875121"/>
    <w:rsid w:val="008D3BB8"/>
    <w:rsid w:val="00931916"/>
    <w:rsid w:val="00940A9F"/>
    <w:rsid w:val="00940F75"/>
    <w:rsid w:val="009C0D53"/>
    <w:rsid w:val="009D1583"/>
    <w:rsid w:val="009E3E75"/>
    <w:rsid w:val="00A06127"/>
    <w:rsid w:val="00A22E99"/>
    <w:rsid w:val="00A7266A"/>
    <w:rsid w:val="00A8420D"/>
    <w:rsid w:val="00A929E8"/>
    <w:rsid w:val="00AC678F"/>
    <w:rsid w:val="00B3476C"/>
    <w:rsid w:val="00B47521"/>
    <w:rsid w:val="00B855AC"/>
    <w:rsid w:val="00BC7E94"/>
    <w:rsid w:val="00BD7926"/>
    <w:rsid w:val="00C23B65"/>
    <w:rsid w:val="00C34842"/>
    <w:rsid w:val="00C6378A"/>
    <w:rsid w:val="00C8115A"/>
    <w:rsid w:val="00C91CB0"/>
    <w:rsid w:val="00D669B3"/>
    <w:rsid w:val="00D92382"/>
    <w:rsid w:val="00DD544B"/>
    <w:rsid w:val="00DF69B3"/>
    <w:rsid w:val="00E54F16"/>
    <w:rsid w:val="00EC1CE5"/>
    <w:rsid w:val="00ED4B9F"/>
    <w:rsid w:val="00F01844"/>
    <w:rsid w:val="00F24476"/>
    <w:rsid w:val="00F65977"/>
    <w:rsid w:val="00F8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53" w:line="264" w:lineRule="auto"/>
      <w:ind w:left="617" w:right="1230" w:hanging="617"/>
      <w:jc w:val="both"/>
    </w:pPr>
    <w:rPr>
      <w:rFonts w:ascii="Calibri" w:eastAsia="Calibri" w:hAnsi="Calibri" w:cs="Calibri"/>
      <w:color w:val="000000"/>
      <w:sz w:val="15"/>
    </w:rPr>
  </w:style>
  <w:style w:type="paragraph" w:styleId="Nagwek1">
    <w:name w:val="heading 1"/>
    <w:next w:val="Normalny"/>
    <w:link w:val="Nagwek1Znak"/>
    <w:uiPriority w:val="9"/>
    <w:unhideWhenUsed/>
    <w:qFormat/>
    <w:pPr>
      <w:keepNext/>
      <w:keepLines/>
      <w:numPr>
        <w:numId w:val="4"/>
      </w:numPr>
      <w:spacing w:after="440" w:line="438" w:lineRule="auto"/>
      <w:ind w:left="21" w:hanging="10"/>
      <w:outlineLvl w:val="0"/>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18"/>
    </w:rPr>
  </w:style>
  <w:style w:type="paragraph" w:styleId="Tekstdymka">
    <w:name w:val="Balloon Text"/>
    <w:basedOn w:val="Normalny"/>
    <w:link w:val="TekstdymkaZnak"/>
    <w:uiPriority w:val="99"/>
    <w:semiHidden/>
    <w:unhideWhenUsed/>
    <w:rsid w:val="000A3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6E1"/>
    <w:rPr>
      <w:rFonts w:ascii="Tahoma" w:eastAsia="Calibri" w:hAnsi="Tahoma" w:cs="Tahoma"/>
      <w:color w:val="000000"/>
      <w:sz w:val="16"/>
      <w:szCs w:val="16"/>
    </w:rPr>
  </w:style>
  <w:style w:type="character" w:styleId="Odwoaniedokomentarza">
    <w:name w:val="annotation reference"/>
    <w:basedOn w:val="Domylnaczcionkaakapitu"/>
    <w:uiPriority w:val="99"/>
    <w:semiHidden/>
    <w:unhideWhenUsed/>
    <w:rsid w:val="00302903"/>
    <w:rPr>
      <w:sz w:val="16"/>
      <w:szCs w:val="16"/>
    </w:rPr>
  </w:style>
  <w:style w:type="paragraph" w:styleId="Tekstkomentarza">
    <w:name w:val="annotation text"/>
    <w:basedOn w:val="Normalny"/>
    <w:link w:val="TekstkomentarzaZnak"/>
    <w:uiPriority w:val="99"/>
    <w:semiHidden/>
    <w:unhideWhenUsed/>
    <w:rsid w:val="00302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2903"/>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02903"/>
    <w:rPr>
      <w:b/>
      <w:bCs/>
    </w:rPr>
  </w:style>
  <w:style w:type="character" w:customStyle="1" w:styleId="TematkomentarzaZnak">
    <w:name w:val="Temat komentarza Znak"/>
    <w:basedOn w:val="TekstkomentarzaZnak"/>
    <w:link w:val="Tematkomentarza"/>
    <w:uiPriority w:val="99"/>
    <w:semiHidden/>
    <w:rsid w:val="00302903"/>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53" w:line="264" w:lineRule="auto"/>
      <w:ind w:left="617" w:right="1230" w:hanging="617"/>
      <w:jc w:val="both"/>
    </w:pPr>
    <w:rPr>
      <w:rFonts w:ascii="Calibri" w:eastAsia="Calibri" w:hAnsi="Calibri" w:cs="Calibri"/>
      <w:color w:val="000000"/>
      <w:sz w:val="15"/>
    </w:rPr>
  </w:style>
  <w:style w:type="paragraph" w:styleId="Nagwek1">
    <w:name w:val="heading 1"/>
    <w:next w:val="Normalny"/>
    <w:link w:val="Nagwek1Znak"/>
    <w:uiPriority w:val="9"/>
    <w:unhideWhenUsed/>
    <w:qFormat/>
    <w:pPr>
      <w:keepNext/>
      <w:keepLines/>
      <w:numPr>
        <w:numId w:val="4"/>
      </w:numPr>
      <w:spacing w:after="440" w:line="438" w:lineRule="auto"/>
      <w:ind w:left="21" w:hanging="10"/>
      <w:outlineLvl w:val="0"/>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18"/>
    </w:rPr>
  </w:style>
  <w:style w:type="paragraph" w:styleId="Tekstdymka">
    <w:name w:val="Balloon Text"/>
    <w:basedOn w:val="Normalny"/>
    <w:link w:val="TekstdymkaZnak"/>
    <w:uiPriority w:val="99"/>
    <w:semiHidden/>
    <w:unhideWhenUsed/>
    <w:rsid w:val="000A3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6E1"/>
    <w:rPr>
      <w:rFonts w:ascii="Tahoma" w:eastAsia="Calibri" w:hAnsi="Tahoma" w:cs="Tahoma"/>
      <w:color w:val="000000"/>
      <w:sz w:val="16"/>
      <w:szCs w:val="16"/>
    </w:rPr>
  </w:style>
  <w:style w:type="character" w:styleId="Odwoaniedokomentarza">
    <w:name w:val="annotation reference"/>
    <w:basedOn w:val="Domylnaczcionkaakapitu"/>
    <w:uiPriority w:val="99"/>
    <w:semiHidden/>
    <w:unhideWhenUsed/>
    <w:rsid w:val="00302903"/>
    <w:rPr>
      <w:sz w:val="16"/>
      <w:szCs w:val="16"/>
    </w:rPr>
  </w:style>
  <w:style w:type="paragraph" w:styleId="Tekstkomentarza">
    <w:name w:val="annotation text"/>
    <w:basedOn w:val="Normalny"/>
    <w:link w:val="TekstkomentarzaZnak"/>
    <w:uiPriority w:val="99"/>
    <w:semiHidden/>
    <w:unhideWhenUsed/>
    <w:rsid w:val="00302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2903"/>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02903"/>
    <w:rPr>
      <w:b/>
      <w:bCs/>
    </w:rPr>
  </w:style>
  <w:style w:type="character" w:customStyle="1" w:styleId="TematkomentarzaZnak">
    <w:name w:val="Temat komentarza Znak"/>
    <w:basedOn w:val="TekstkomentarzaZnak"/>
    <w:link w:val="Tematkomentarza"/>
    <w:uiPriority w:val="99"/>
    <w:semiHidden/>
    <w:rsid w:val="0030290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5556</Words>
  <Characters>33339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dc:creator>
  <cp:lastModifiedBy>Tomasz Slowinski</cp:lastModifiedBy>
  <cp:revision>3</cp:revision>
  <dcterms:created xsi:type="dcterms:W3CDTF">2018-04-10T07:46:00Z</dcterms:created>
  <dcterms:modified xsi:type="dcterms:W3CDTF">2018-04-10T07:54:00Z</dcterms:modified>
</cp:coreProperties>
</file>